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喀什地区信用评级报告(区域部分)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喀什地区经济总量列新疆维吾尔自治区第五位，人均GDP约—万元、人均经济实力居省内中游，经济增速维持在6.40%左右、总体平稳；固定资产投资最新增速9.90%，经济运行总体平稳。【待补充：喀什地区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喀什地区2023、2024、2025年地区生产总值分别为1,565.55亿元、1,626.88亿元、1,752.12亿元，同比增长6.60%、6.10%、6.40%。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产业结构方面，2025年喀什地区三次产业结构为29.8:16:54.2。【待补充：支柱产业、主要龙头企业、对外贸易等定性描述（数据库未覆盖）】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2023、2024、2025年固定资产投资增速分别为7.40%、2.00%、9.90%，2025年社会消费品零售总额393.35亿元，进出口总额162.23亿美元。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图表：2025年新疆维吾尔自治区各地级市主要经济指标对比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乌鲁木齐市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4,658.19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0.8:27.9:71.3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415.39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伊犁哈萨克自治州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3,470.95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23.3:28.3:48.4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昌吉回族自治州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2,637.67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11.4:55.5:33.1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阿克苏地区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22.7:32.4:44.9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喀什地区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1,752.12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29.8:16:54.2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巴音郭楞蒙古自治州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13.3:50.1:36.6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146.68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克拉玛依市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1.6:69.1:29.3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49.59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1,162.59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4.4:67.3:28.3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塔城地区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38.1:20.8:41.1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吐鲁番市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15.1:48.7:36.2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博尔塔拉蒙古自治州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19.4:26.5:54.1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阿勒泰地区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16.3:29.9:53.8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克孜勒苏柯尔克孜自治州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272.24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11.1:30.1:58.8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和田地区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喀什地区2025年GDP总量1,752.12亿元、列全省第五位，一般公共预算收入90.38亿元、列全省第八位。整体来看，喀什地区经济基本面在新疆维吾尔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喀什地区财政体量在新疆维吾尔自治区处于中游，税收占比66.86%、税收质量较好，但政府性基金收入较2023年累计增长39%；2025年末宽口径债务率909.13%、处于偏高水平，已显著高于公认的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喀什地区一般公共预算收入分别为86.43亿元、100.35亿元、90.38亿元，其中税收收入46.70亿元、50.57亿元、60.43亿元，税收占比维持在54.04%、50.39%、66.86%；一般公共预算支出773.41亿元、796.30亿元、813.03亿元，财政自给率11.17%、12.60%、11.12%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政府性基金收入方面，2023、2024、2025年分别为26.91亿元、45.24亿元、37.44亿元，政府性基金收入较2023年累计增长39%，反映地方综合财力对房地产周期的敞口。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图表：2023-2025年喀什地区财政收入情况(单位:亿元、%)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-9.94%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773.41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813.03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-17.24%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资料来源:喀什地区财政决算、企业预警通,风控信评部整理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土地市场方面，【待补充:喀什地区土地出让与房地产销售数据（土地市场数据库未覆盖该市）】。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喀什地区地方政府债务余额分别为767.73亿元、966.50亿元、1,104.67亿元，2025年末债务限额1,148.84亿元，债务余额控制在限额以内；城投有息债务2025年末估算余额68.86亿元。债务率指标看，2025年末政府债务率855.78%、城投债务率53.35%、宽口径债务率909.13%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喀什地区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