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塔城地区信用评级报告(区域部分)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塔城地区经济总量列新疆维吾尔自治区第九位，人均GDP约9.41万元、人均经济实力在省内相对靠后，经济增速由7.10%回落至5.30%、有所放缓；固定资产投资最新增速24.60%，经济运行总体平稳。【待补充：塔城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塔城地区2023、2024、2025年地区生产总值分别为976.74亿元、998.72亿元、1,050.47亿元，同比增长7.10%、6.60%、5.30%。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产业结构方面，2025年塔城地区三次产业结构为38.1:20.8:41.1。【待补充：支柱产业、主要龙头企业、对外贸易等定性描述（数据库未覆盖）】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2023、2024、2025年固定资产投资增速分别为40.50%、23.30%、24.60%，2025年社会消费品零售总额93.99亿元，进出口总额20.51亿美元。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塔城地区2025年GDP总量1,050.47亿元、列全省第九位，一般公共预算收入63.83亿元、列全省第十位。整体来看，塔城地区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塔城地区财政体量在新疆维吾尔自治区处于中游，税收占比53.70%、税收占比处于一般水平，但政府性基金收入较2023年累计增长69%；2025年末宽口径债务率581.59%、处于偏高水平，已显著高于公认的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塔城地区一般公共预算收入分别为56.89亿元、66.47亿元、63.83亿元，其中税收收入33.00亿元、37.75亿元、34.28亿元，税收占比维持在58.00%、56.80%、53.70%；一般公共预算支出248.73亿元、258.46亿元、274.67亿元，财政自给率22.87%、25.72%、23.24%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政府性基金收入方面，2023、2024、2025年分别为29.96亿元、49.87亿元、50.54亿元，政府性基金收入较2023年累计增长69%，反映地方综合财力对房地产周期的敞口。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图表：2023-2025年塔城地区财政收入情况(单位:亿元、%)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248.73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资料来源:塔城地区财政决算、企业预警通,风控信评部整理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土地市场方面，【待补充:塔城地区土地出让与房地产销售数据（土地市场数据库未覆盖该市）】。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塔城地区地方政府债务余额分别为388.32亿元、475.67亿元、561.44亿元，2025年末债务限额574.42亿元，债务余额控制在限额以内；城投有息债务2025年末估算余额107.22亿元。债务率指标看，2025年末政府债务率488.33%、城投债务率93.26%、宽口径债务率581.59%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塔城地区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