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ind w:firstLine="0"/>
        <w:jc w:val="center"/>
      </w:pPr>
      <w:r>
        <w:rPr>
          <w:rFonts w:ascii="Times New Roman" w:hAnsi="Times New Roman" w:eastAsia="楷体"/>
          <w:b/>
          <w:color w:val="000000"/>
          <w:sz w:val="28"/>
        </w:rPr>
        <w:t>巴音郭楞蒙古自治州信用评级报告(区域部分)</w:t>
      </w:r>
    </w:p>
    <w:p>
      <w:pPr>
        <w:spacing w:before="200" w:after="100" w:line="360" w:lineRule="auto"/>
        <w:ind w:firstLine="0"/>
      </w:pPr>
      <w:r>
        <w:rPr>
          <w:rFonts w:ascii="Times New Roman" w:hAnsi="Times New Roman" w:eastAsia="楷体"/>
          <w:b/>
          <w:color w:val="000000"/>
          <w:sz w:val="21"/>
        </w:rPr>
        <w:t>一、区域经济分析</w:t>
      </w:r>
    </w:p>
    <w:p>
      <w:pPr>
        <w:spacing w:before="120" w:after="60" w:line="360" w:lineRule="auto"/>
        <w:ind w:firstLine="0"/>
      </w:pPr>
      <w:r>
        <w:rPr>
          <w:rFonts w:ascii="Times New Roman" w:hAnsi="Times New Roman" w:eastAsia="楷体"/>
          <w:b/>
          <w:color w:val="000000"/>
          <w:sz w:val="21"/>
        </w:rPr>
        <w:t>■ 巴音郭楞蒙古自治州经济总量列新疆维吾尔自治区第六位，人均GDP约11.75万元、人均经济实力居全省中游，经济增速由6.40%回落至5.50%、有所放缓；固定资产投资最新增速13.00%，经济运行总体平稳。【待补充：巴音郭楞蒙古自治州的行政与战略定位、支柱产业及龙头企业（数据库未覆盖，需人工补充）】</w:t>
      </w:r>
    </w:p>
    <w:p>
      <w:pPr>
        <w:spacing w:before="0" w:after="60" w:line="360" w:lineRule="auto"/>
        <w:ind w:firstLine="420"/>
      </w:pPr>
      <w:r>
        <w:rPr>
          <w:rFonts w:ascii="Times New Roman" w:hAnsi="Times New Roman" w:eastAsia="楷体"/>
          <w:b w:val="0"/>
          <w:color w:val="000000"/>
          <w:sz w:val="21"/>
        </w:rPr>
        <w:t>巴音郭楞蒙古自治州2023、2024、2025年地区生产总值分别为1,636.40亿元、1,692.45亿元、1,723.53亿元，同比增长6.40%、5.60%、5.50%。截至2025年末，全市常住人口146.68万人，人均GDP约11.75万元（按当年GDP与常住人口估算）。</w:t>
      </w:r>
    </w:p>
    <w:p>
      <w:pPr>
        <w:spacing w:before="0" w:after="60" w:line="360" w:lineRule="auto"/>
        <w:ind w:firstLine="420"/>
      </w:pPr>
      <w:r>
        <w:rPr>
          <w:rFonts w:ascii="Times New Roman" w:hAnsi="Times New Roman" w:eastAsia="楷体"/>
          <w:b w:val="0"/>
          <w:color w:val="000000"/>
          <w:sz w:val="21"/>
        </w:rPr>
        <w:t>产业结构方面，2025年巴音郭楞蒙古自治州三次产业结构为13.3:50.1:36.6。【待补充：支柱产业、主要龙头企业、对外贸易等定性描述（数据库未覆盖）】</w:t>
      </w:r>
    </w:p>
    <w:p>
      <w:pPr>
        <w:spacing w:before="0" w:after="60" w:line="360" w:lineRule="auto"/>
        <w:ind w:firstLine="420"/>
      </w:pPr>
      <w:r>
        <w:rPr>
          <w:rFonts w:ascii="Times New Roman" w:hAnsi="Times New Roman" w:eastAsia="楷体"/>
          <w:b w:val="0"/>
          <w:color w:val="000000"/>
          <w:sz w:val="21"/>
        </w:rPr>
        <w:t>2023、2024、2025年固定资产投资增速分别为17.60%、14.10%、13.00%，2025年社会消费品零售总额311.63亿元，进出口总额8.63亿美元。</w:t>
      </w:r>
    </w:p>
    <w:p>
      <w:pPr>
        <w:spacing w:before="80" w:after="40" w:line="360" w:lineRule="auto"/>
        <w:ind w:firstLine="0"/>
        <w:jc w:val="center"/>
      </w:pPr>
      <w:r>
        <w:rPr>
          <w:rFonts w:ascii="Times New Roman" w:hAnsi="Times New Roman" w:eastAsia="楷体"/>
          <w:b/>
          <w:color w:val="000000"/>
          <w:sz w:val="21"/>
        </w:rPr>
        <w:t>图表：2025年新疆维吾尔自治区各地级市主要经济指标对比</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地级市</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人均GDP(万元)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三次产业结构</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一般预算(亿元)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常住人口(万人)</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乌鲁木齐市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4,658.19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11.25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0.8:27.9:71.3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314.39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415.39</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伊犁哈萨克自治州</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3,470.95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23.3:28.3:48.4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138.63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昌吉回族自治州</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2,637.67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11.4:55.5:33.1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276.81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阿克苏地区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2,042.98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22.7:32.4:44.9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169.27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喀什地区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1,752.12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29.8:16:54.2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90.38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巴音郭楞蒙古自治州</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1,723.53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11.75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13.3:50.1:36.6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98.27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146.68</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克拉玛依市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1,303.96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26.29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1.6:69.1:29.3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106.90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49.59</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哈密市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1,162.59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17.22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4.4:67.3:28.3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133.20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塔城地区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1,050.47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9.41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38.1:20.8:41.1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63.83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吐鲁番市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668.10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9.55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15.1:48.7:36.2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64.76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70.15</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博尔塔拉蒙古自治州</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575.15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19.4:26.5:54.1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45.81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阿勒泰地区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484.21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16.3:29.9:53.8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51.20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克孜勒苏柯尔克孜自治州</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272.24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11.1:30.1:58.8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22.16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和田地区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51.73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bl>
    <w:p>
      <w:pPr>
        <w:spacing w:before="0" w:after="80" w:line="360" w:lineRule="auto"/>
        <w:ind w:firstLine="0"/>
      </w:pPr>
      <w:r>
        <w:rPr>
          <w:rFonts w:ascii="Times New Roman" w:hAnsi="Times New Roman" w:eastAsia="楷体"/>
          <w:b w:val="0"/>
          <w:color w:val="000000"/>
          <w:sz w:val="19"/>
        </w:rPr>
        <w:t>资料来源：各市统计公报、企业预警通，风控信评部整理。注：部分城市人均GDP系按当年GDP与常住人口估算。</w:t>
      </w:r>
    </w:p>
    <w:p>
      <w:pPr>
        <w:spacing w:before="0" w:after="60" w:line="360" w:lineRule="auto"/>
        <w:ind w:firstLine="420"/>
      </w:pPr>
      <w:r>
        <w:rPr>
          <w:rFonts w:ascii="Times New Roman" w:hAnsi="Times New Roman" w:eastAsia="楷体"/>
          <w:b w:val="0"/>
          <w:color w:val="000000"/>
          <w:sz w:val="21"/>
        </w:rPr>
        <w:t>省内对比看，巴音郭楞蒙古自治州2025年GDP总量1,723.53亿元、列全省第六位，一般公共预算收入98.27亿元、列全省第七位。整体来看，巴音郭楞蒙古自治州经济基本面在新疆维吾尔自治区内具有一定代表性，但需关注固定资产投资走势及新旧动能转换的接续性。</w:t>
      </w:r>
    </w:p>
    <w:p>
      <w:pPr>
        <w:spacing w:before="120" w:after="60" w:line="360" w:lineRule="auto"/>
        <w:ind w:firstLine="0"/>
      </w:pPr>
      <w:r>
        <w:rPr>
          <w:rFonts w:ascii="Times New Roman" w:hAnsi="Times New Roman" w:eastAsia="楷体"/>
          <w:b/>
          <w:color w:val="000000"/>
          <w:sz w:val="21"/>
        </w:rPr>
        <w:t>■ 巴音郭楞蒙古自治州财政体量在新疆维吾尔自治区处于中游，税收占比92.37%、税收质量较好，但政府性基金收入较2023年累计下降17%、土地财政贡献度弱化；2025年末宽口径债务率719.49%、处于偏高水平，已显著高于公认的 300% 偏高临界线，后续偿债压力值得关注。</w:t>
      </w:r>
    </w:p>
    <w:p>
      <w:pPr>
        <w:spacing w:before="0" w:after="60" w:line="360" w:lineRule="auto"/>
        <w:ind w:firstLine="420"/>
      </w:pPr>
      <w:r>
        <w:rPr>
          <w:rFonts w:ascii="Times New Roman" w:hAnsi="Times New Roman" w:eastAsia="楷体"/>
          <w:b w:val="0"/>
          <w:color w:val="000000"/>
          <w:sz w:val="21"/>
        </w:rPr>
        <w:t>财政收入方面，2023、2024、2025年巴音郭楞蒙古自治州一般公共预算收入分别为102.85亿元、114.21亿元、98.27亿元，其中税收收入74.74亿元、78.57亿元、90.77亿元，税收占比维持在72.67%、68.79%、92.37%；一般公共预算支出303.71亿元、313.54亿元、329.13亿元，财政自给率33.87%、36.43%、29.86%。</w:t>
      </w:r>
    </w:p>
    <w:p>
      <w:pPr>
        <w:spacing w:before="0" w:after="60" w:line="360" w:lineRule="auto"/>
        <w:ind w:firstLine="420"/>
      </w:pPr>
      <w:r>
        <w:rPr>
          <w:rFonts w:ascii="Times New Roman" w:hAnsi="Times New Roman" w:eastAsia="楷体"/>
          <w:b w:val="0"/>
          <w:color w:val="000000"/>
          <w:sz w:val="21"/>
        </w:rPr>
        <w:t>政府性基金收入方面，2023、2024、2025年分别为37.80亿元、41.44亿元、31.51亿元，政府性基金收入较2023年累计下降17%、土地财政贡献度弱化，反映地方综合财力对房地产周期的敞口。</w:t>
      </w:r>
    </w:p>
    <w:p>
      <w:pPr>
        <w:spacing w:before="80" w:after="40" w:line="360" w:lineRule="auto"/>
        <w:ind w:firstLine="0"/>
        <w:jc w:val="center"/>
      </w:pPr>
      <w:r>
        <w:rPr>
          <w:rFonts w:ascii="Times New Roman" w:hAnsi="Times New Roman" w:eastAsia="楷体"/>
          <w:b/>
          <w:color w:val="000000"/>
          <w:sz w:val="21"/>
        </w:rPr>
        <w:t>图表：2023-2025年巴音郭楞蒙古自治州财政收入情况(单位:亿元、%)</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项目</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2023年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2024年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2025年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102.85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114.21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11.05%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98.27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-13.96%</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 xml:space="preserve">　其中:税收收入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74.74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78.57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5.12%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90.77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15.53%</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税收占比</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72.67%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68.79%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92.37%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一般公共预算支出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303.71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313.54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3.24%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329.13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4.97%</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财政自给率</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33.87%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36.43%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29.86%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政府性基金收入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37.80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41.44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9.63%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31.51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-23.96%</w:t>
            </w:r>
          </w:p>
        </w:tc>
      </w:tr>
    </w:tbl>
    <w:p>
      <w:pPr>
        <w:spacing w:before="0" w:after="80" w:line="360" w:lineRule="auto"/>
        <w:ind w:firstLine="0"/>
      </w:pPr>
      <w:r>
        <w:rPr>
          <w:rFonts w:ascii="Times New Roman" w:hAnsi="Times New Roman" w:eastAsia="楷体"/>
          <w:b w:val="0"/>
          <w:color w:val="000000"/>
          <w:sz w:val="19"/>
        </w:rPr>
        <w:t>资料来源:巴音郭楞蒙古自治州财政决算、企业预警通,风控信评部整理</w:t>
      </w:r>
    </w:p>
    <w:p>
      <w:pPr>
        <w:spacing w:before="0" w:after="60" w:line="360" w:lineRule="auto"/>
        <w:ind w:firstLine="420"/>
      </w:pPr>
      <w:r>
        <w:rPr>
          <w:rFonts w:ascii="Times New Roman" w:hAnsi="Times New Roman" w:eastAsia="楷体"/>
          <w:b w:val="0"/>
          <w:color w:val="000000"/>
          <w:sz w:val="21"/>
        </w:rPr>
        <w:t>土地市场方面，【待补充:巴音郭楞蒙古自治州土地出让与房地产销售数据（土地市场数据库未覆盖该市）】。</w:t>
      </w:r>
    </w:p>
    <w:p>
      <w:pPr>
        <w:spacing w:before="0" w:after="60" w:line="360" w:lineRule="auto"/>
        <w:ind w:firstLine="420"/>
      </w:pPr>
      <w:r>
        <w:rPr>
          <w:rFonts w:ascii="Times New Roman" w:hAnsi="Times New Roman" w:eastAsia="楷体"/>
          <w:b w:val="0"/>
          <w:color w:val="000000"/>
          <w:sz w:val="21"/>
        </w:rPr>
        <w:t>政府债务方面，2023、2024、2025年末巴音郭楞蒙古自治州地方政府债务余额分别为630.84亿元、712.98亿元、844.49亿元，2025年末债务限额855.56亿元，债务余额控制在限额以内；城投有息债务2025年末估算余额102.21亿元。债务率指标看，2025年末政府债务率641.81%、城投债务率77.68%、宽口径债务率719.49%。</w:t>
      </w:r>
    </w:p>
    <w:p>
      <w:pPr>
        <w:spacing w:before="0" w:after="60" w:line="360" w:lineRule="auto"/>
        <w:ind w:firstLine="420"/>
      </w:pPr>
      <w:r>
        <w:rPr>
          <w:rFonts w:ascii="Times New Roman" w:hAnsi="Times New Roman" w:eastAsia="楷体"/>
          <w:b w:val="0"/>
          <w:color w:val="000000"/>
          <w:sz w:val="21"/>
        </w:rPr>
        <w:t>综合来看，巴音郭楞蒙古自治州财政基本盘总体稳健，但土地财政收缩与债务规模扩张是当前主要压力线；我们预计宽口径债务率短期内将维持偏高水平，需重点关注后续化债进展、土地市场企稳情况以及融资平台合规整改对城投再融资能力的影响。</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楷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