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南京市信用评级报告(区域部分)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京经济总量列江苏省第二位，人均GDP约20.22万元、人均经济实力居全省中游，经济增速由4.70%回升至5.20%、动能边际改善；固定资产投资连续负增长（最新-4.90%），经济动能仍有待修复。【待补充：南京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南京市2023、2024、2025年地区生产总值分别为17,796.40亿元、18,593.77亿元、19,428.78亿元，同比增长4.70%、4.70%、5.20%。截至2025年末，全市常住人口963.85万人，人均GDP约20.22万元。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产业结构方面，2025年南京市三次产业结构为1.7:30.2:68。【待补充：支柱产业、主要龙头企业、对外贸易等定性描述（数据库未覆盖）】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2023、2024、2025年固定资产投资增速分别为-1.90%、-17.10%、-4.90%，2025年社会消费品零售总额8,135.85亿元，进出口总额751.77亿美元。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南京市2025年GDP总量19,428.78亿元、列全省第二位，一般公共预算收入1,620.91亿元、列全省第二位。整体来看，南京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南京市财政体量在江苏省位居前列，税收占比81.69%、税收质量较好，但政府性基金收入较2023年累计下降29%、土地财政贡献度弱化；2025年末宽口径债务率992.86%、处于偏高水平，已显著高于公认的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南京市一般公共预算收入分别为1,619.98亿元、1,596.02亿元、1,620.91亿元，其中税收收入1,366.53亿元、1,290.71亿元、1,324.12亿元，税收占比维持在84.35%、80.87%、81.69%；一般公共预算支出1,838.70亿元、1,705.26亿元、1,704.89亿元，财政自给率88.10%、93.59%、95.07%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政府性基金收入方面，2023、2024、2025年分别为1,254.30亿元、937.59亿元、886.42亿元，政府性基金收入较2023年累计下降29%、土地财政贡献度弱化，反映地方综合财力对房地产周期的敞口。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图表：2023-2025年南京市财政收入情况(单位:亿元、%)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1,619.98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1,596.02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1,366.53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1,324.12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1,838.70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1,704.89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886.42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-5.46%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资料来源:南京市财政决算、企业预警通,风控信评部整理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南京市经营性用地成交价分别为2,114.07亿元、1,373.66亿元、1,205.56亿元、717.70亿元、771.37亿元，2025年较2021年下降63.51%；同期平均溢价率为11.13%、2.88%、4.38%、1.06%、2.81%；成交楼面均价由7,931元/㎡降至4,122元/㎡、累计下降48.03%。2026年1-4月，南京市经营性用地累计成交107宗、规划建面567.86万㎡、成交价120.26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图表:2021-2025年南京市土地出让情况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2,665.70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7,931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2,114.07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2,336.59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5,879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1,373.66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2,218.84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5,433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1,205.56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2,011.56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717.70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1,871.44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771.37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567.86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120.26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南京市商品住宅成交面积由1,326.74万㎡变动至306.42万㎡、累计下降76.9%；新房均价2025年为27,642元/㎡、较2022年高点(31,844元/㎡)累计下跌13.20%；2025年去化周期34.36个月。据中指冰山指数(最低挂牌价口径)，南京二手房挂牌价较2021年10月高点累计下跌45.15%，2023年累计跌幅-11.72%、2024年累计跌幅-14.59%、2025年累计跌幅-18.77%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南京市地方政府债务余额分别为3,070.03亿元、3,661.56亿元、4,454.02亿元，2025年末债务限额4,577.76亿元，债务余额控制在限额以内；城投有息债务2025年末估算余额20,647.58亿元。债务率指标看，2025年末政府债务率176.17%、城投债务率816.69%、宽口径债务率992.86%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南京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