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南通市信用评级报告(区域部分)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通经济总量列江苏省第四位，人均GDP约16.60万元、人均经济实力在省内相对靠后，经济增速维持在5.30%左右、总体平稳；固定资产投资最新增速转负（-4.90%），经济动能仍有待修复。【待补充：南通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南通市2023、2024、2025年地区生产总值分别为11,828.00亿元、12,421.89亿元、12,801.50亿元，同比增长5.60%、6.20%、5.30%。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产业结构方面，2025年南通市三次产业结构为4.2:46.1:49.7。【待补充：支柱产业、主要龙头企业、对外贸易等定性描述（数据库未覆盖）】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2023、2024、2025年固定资产投资增速分别为2.60%、0.90%、-4.90%，2025年社会消费品零售总额3,855.40亿元，进出口总额615.94亿美元。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图表：2025年江苏省各地级市主要经济指标对比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苏州市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27,695.10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0.7:46.4:52.9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2,490.23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1304.77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南京市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19,428.78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1.7:30.2:68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1,620.91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963.85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无锡市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16,773.94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0.9:46.9:52.2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753.74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南通市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12,801.50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4.2:46.1:49.7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11,158.70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1.6:46.2:52.2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715.47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徐州市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9,957.22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扬州市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8,056.75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376.30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盐城市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8,045.30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泰州市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7,255.27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475.49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镇江市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5,736.78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3:45:52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339.03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5,630.11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335.33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449.34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5,026.60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316.56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连云港市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4,830.94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9.9:42.6:47.5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456.20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南通市2025年GDP总量12,801.50亿元、列全省第四位，一般公共预算收入730.04亿元、列全省第四位。整体来看，南通市经济基本面在江苏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南通市财政体量在江苏省处于中游，税收占比74.79%、税收质量较好，但政府性基金收入较2023年累计下降22%、土地财政贡献度弱化；2025年末宽口径债务率866.31%、处于偏高水平，已显著高于公认的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南通市一般公共预算收入分别为680.16亿元、700.90亿元、730.04亿元，其中税收收入538.79亿元、525.79亿元、545.96亿元，税收占比维持在79.22%、75.02%、74.79%；一般公共预算支出1,180.93亿元、1,179.05亿元、1,188.69亿元，财政自给率57.60%、59.45%、61.42%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政府性基金收入方面，2023、2024、2025年分别为982.91亿元、834.54亿元、768.93亿元，政府性基金收入较2023年累计下降22%、土地财政贡献度弱化，反映地方综合财力对房地产周期的敞口。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图表：2023-2025年南通市财政收入情况(单位:亿元、%)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680.16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525.79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-2.41%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545.96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79.22%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74.79%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1,180.93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1,179.05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1,188.69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61.42%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982.91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834.54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-15.09%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768.93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-7.86%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资料来源:南通市财政决算、企业预警通,风控信评部整理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南通市经营性用地成交价分别为1,390.86亿元、877.60亿元、956.00亿元、746.55亿元、730.30亿元，2025年较2021年下降47.49%；同期平均溢价率为7.24%、0.83%、0.31%、0.14%、0.14%；成交楼面均价为2,904元/㎡。2026年1-4月，南通市经营性用地累计成交166宗、规划建面714.60万㎡、成交价167.60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图表:2021-2025年南通市土地出让情况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4,945.05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2,813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1,390.86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4,065.05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2,159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0.83%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877.60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4,204.14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2,274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0.31%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956.00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3,026.50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2,466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746.55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2,514.41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0.14%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730.30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714.60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167.60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南通市商品住宅成交面积由441.45万㎡变动至116.55万㎡、累计下降73.6%；新房均价2025年为16,272元/㎡、较2021年高点(17,238元/㎡)累计下跌5.60%；2025年去化周期42.18个月。据中指冰山指数(最低挂牌价口径)，南通二手房挂牌价较2021年5月高点累计下跌49.57%，2023年累计跌幅-15.38%、2024年累计跌幅-16.11%、2025年累计跌幅-17.93%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南通市地方政府债务余额分别为2,129.94亿元、2,616.08亿元、3,338.45亿元，2025年末债务限额3,393.48亿元，债务余额控制在限额以内；城投有息债务2025年末估算余额9,806.31亿元。债务率指标看，2025年末政府债务率220.02%、城投债务率646.29%、宽口径债务率866.31%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南通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