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宿迁市信用评级报告(区域部分)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宿迁经济总量列江苏省第12位，人均GDP约—万元、人均经济实力居省内中游，经济增速由7.70%回落至5.60%、有所放缓；固定资产投资最新增速转负（-10.20%），经济动能仍有待修复。【待补充：宿迁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宿迁市2023、2024、2025年地区生产总值分别为4,519.07亿元、4,801.85亿元、5,026.60亿元，同比增长7.70%、6.90%、5.60%。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产业结构方面，2025年宿迁市三次产业结构为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2023、2024、2025年固定资产投资增速分别为7.70%、5.60%、-10.20%，2025年社会消费品零售总额1,739.07亿元，进出口总额82.35亿美元。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宿迁市2025年GDP总量5,026.60亿元、列全省第12位，一般公共预算收入316.56亿元、列全省第12位。整体来看，宿迁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宿迁市财政体量在江苏省处于中游，税收占比81.76%、税收质量较好，但政府性基金收入较2023年累计下降30%、土地财政贡献度弱化；2025年末宽口径债务率375.91%、处于偏高水平，已显著高于公认的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宿迁市一般公共预算收入分别为302.00亿元、310.00亿元、316.56亿元，其中税收收入240.37亿元、249.05亿元、258.81亿元，税收占比维持在79.59%、80.34%、81.76%；一般公共预算支出641.80亿元、662.82亿元、688.58亿元，财政自给率47.06%、46.77%、45.97%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政府性基金收入方面，2023、2024、2025年分别为309.20亿元、217.18亿元、215.07亿元，政府性基金收入较2023年累计下降30%、土地财政贡献度弱化，反映地方综合财力对房地产周期的敞口。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图表：2023-2025年宿迁市财政收入情况(单位:亿元、%)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662.82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688.58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-29.76%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资料来源:宿迁市财政决算、企业预警通,风控信评部整理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土地市场方面，【待补充:宿迁市土地出让与房地产销售数据（土地市场数据库未覆盖该市）】。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宿迁市地方政府债务余额分别为968.85亿元、1,109.39亿元、1,286.84亿元，2025年末债务限额1,301.35亿元，债务余额控制在限额以内；城投有息债务2025年末估算余额1,963.03亿元。债务率指标看，2025年末政府债务率148.85%、城投债务率227.06%、宽口径债务率375.91%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宿迁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