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常州市信用评级报告(区域部分)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常州经济总量列江苏省第五位，人均GDP约20.70万元、人均经济实力居全省中游，经济增速由6.60%回落至5.20%、有所放缓；固定资产投资最新增速转负（-19.00%），经济动能仍有待修复。【待补充：常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常州市2023、2024、2025年地区生产总值分别为10,297.36亿元、10,813.59亿元、11,158.70亿元，同比增长6.60%、6.10%、5.20%。截至2025年末，全市常住人口541.54万人，人均GDP约20.70万元。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产业结构方面，2025年常州市三次产业结构为1.6:46.2:52.2。【待补充：支柱产业、主要龙头企业、对外贸易等定性描述（数据库未覆盖）】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2023、2024、2025年固定资产投资增速分别为2.50%、1.30%、-19.00%，2025年社会消费品零售总额2,918.10亿元，进出口总额521.06亿美元。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常州市2025年GDP总量11,158.70亿元、列全省第五位，一般公共预算收入715.47亿元、列全省第五位。整体来看，常州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常州市财政体量在江苏省处于中游，税收占比85.45%、税收质量较好，但政府性基金收入较2023年累计下降70%、土地财政贡献度弱化；2025年末宽口径债务率991.24%、处于偏高水平，已显著高于公认的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常州市一般公共预算收入分别为680.30亿元、697.80亿元、715.47亿元，其中税收收入585.34亿元、586.52亿元、611.41亿元，税收占比维持在86.04%、84.05%、85.45%；一般公共预算支出854.77亿元、890.07亿元、832.84亿元，财政自给率79.59%、78.40%、85.91%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政府性基金收入方面，2023、2024、2025年分别为1,396.20亿元、976.17亿元、413.71亿元，政府性基金收入较2023年累计下降70%、土地财政贡献度弱化，反映地方综合财力对房地产周期的敞口。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图表：2023-2025年常州市财政收入情况(单位:亿元、%)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697.80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611.41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832.84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1,396.20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-57.62%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资料来源:常州市财政决算、企业预警通,风控信评部整理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常州市经营性用地成交价分别为1,266.45亿元、1,072.89亿元、1,139.44亿元、771.50亿元、476.93亿元，2025年较2021年下降62.34%；同期平均溢价率为7.29%、2.37%、0.91%、0.93%、0.38%；成交楼面均价由3,630元/㎡降至2,430元/㎡、累计下降33.06%。2026年1-4月，常州市经营性用地累计成交89宗、规划建面421.96万㎡、成交价35.20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图表:2021-2025年常州市土地出让情况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3,488.97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1,266.45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3,174.12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1,072.89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3,801.37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1,139.44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1,805.63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771.50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1,962.29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476.93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421.96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常州市商品住宅成交面积由766.42万㎡变动至157.08万㎡、累计下降79.5%；新房均价2025年为14,061元/㎡、较2023年高点(16,318元/㎡)累计下跌13.83%。据中指冰山指数(最低挂牌价口径)，常州二手房挂牌价较2021年10月高点累计下跌40.31%，2023年累计跌幅-12.14%、2024年累计跌幅-14.44%、2025年累计跌幅-12.67%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常州市地方政府债务余额分别为1,899.74亿元、2,443.69亿元、3,116.88亿元，2025年末债务限额3,139.59亿元，债务余额控制在限额以内；城投有息债务2025年末估算余额8,232.58亿元。债务率指标看，2025年末政府债务率272.22%、城投债务率719.02%、宽口径债务率991.24%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常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