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徐州市信用评级报告(区域部分)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徐州经济总量列江苏省第六位，人均GDP约—万元、人均经济实力居省内中游，经济增速由6.90%回落至5.80%、有所放缓；固定资产投资最新增速转负（-11.90%），经济动能仍有待修复。【待补充：徐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徐州市2023、2024、2025年地区生产总值分别为9,012.44亿元、9,537.12亿元、9,957.22亿元，同比增长6.90%、6.40%、5.80%。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产业结构方面，2025年徐州市三次产业结构为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2023、2024、2025年固定资产投资增速分别为7.40%、7.70%、-11.90%。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徐州市2025年GDP总量9,957.22亿元、列全省第六位，一般公共预算收入575.33亿元、列全省第六位。整体来看，徐州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徐州市财政体量在江苏省处于中游，税收占比72.41%、税收质量较好，但政府性基金收入较2023年累计下降49%、土地财政贡献度弱化；2025年末宽口径债务率958.28%、处于偏高水平，已显著高于公认的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徐州市一般公共预算收入分别为545.96亿元、560.29亿元、575.33亿元，其中税收收入415.69亿元、407.83亿元、416.58亿元，税收占比维持在76.14%、72.79%、72.41%；一般公共预算支出1,056.90亿元、1,052.38亿元、1,053.50亿元，财政自给率51.66%、53.24%、54.61%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政府性基金收入方面，2023、2024、2025年分别为697.82亿元、388.41亿元、357.19亿元，政府性基金收入较2023年累计下降49%、土地财政贡献度弱化，反映地方综合财力对房地产周期的敞口。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图表：2023-2025年徐州市财政收入情况(单位:亿元、%)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560.29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-44.34%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357.19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-8.04%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资料来源:徐州市财政决算、企业预警通,风控信评部整理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徐州市经营性用地成交价分别为782.49亿元、727.20亿元、538.20亿元、409.64亿元、282.71亿元，2025年较2021年下降63.87%；同期平均溢价率为21.54%、0.17%、0.49%、0.06%、0.57%；成交楼面均价由2,035元/㎡降至1,313元/㎡、累计下降35.48%。2026年1-4月，徐州市经营性用地累计成交66宗、规划建面262.37万㎡、成交价31.87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图表:2021-2025年徐州市土地出让情况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3,845.51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21.54%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782.49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4,447.35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727.20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3,106.19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538.20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2,555.67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409.64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2,153.54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1,313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282.71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31.87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徐州市商品住宅成交面积由1,522.20万㎡变动至571.47万㎡、累计下降62.5%；新房均价2025年为7,375元/㎡、较2021年高点(9,349元/㎡)累计下跌21.11%；2025年去化周期13.19个月。据中指冰山指数(最低挂牌价口径)，徐州二手房挂牌价较2021年6月高点累计下跌51.16%，2023年累计跌幅-16.72%、2024年累计跌幅-18.26%、2025年累计跌幅-16.63%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徐州市地方政府债务余额分别为1,634.78亿元、1,872.37亿元、2,072.90亿元，2025年末债务限额2,104.32亿元，债务余额控制在限额以内；城投有息债务2025年末估算余额6,992.42亿元。债务率指标看，2025年末政府债务率219.12%、城投债务率739.16%、宽口径债务率958.28%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徐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