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扬州市信用评级报告(区域部分)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扬州经济总量列江苏省第七位，人均GDP约—万元、人均经济实力居省内中游，经济增速由5.90%回落至5.50%、有所放缓；固定资产投资最新增速转负（-26.10%），经济动能仍有待修复。【待补充：扬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扬州市2023、2024、2025年地区生产总值分别为7,441.26亿元、7,809.64亿元、8,056.75亿元，同比增长5.90%、6.00%、5.50%。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产业结构方面，2025年扬州市三次产业结构为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2023、2024、2025年固定资产投资增速分别为10.50%、6.80%、-26.10%，2025年社会消费品零售总额1,961.68亿元，进出口总额185.83亿美元。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扬州市2025年GDP总量8,056.75亿元、列全省第七位，一般公共预算收入376.30亿元、列全省第九位。整体来看，扬州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扬州市财政体量在江苏省处于中游，税收占比77.36%、税收质量较好，但政府性基金收入较2023年累计下降18%、土地财政贡献度弱化；2025年末宽口径债务率770.41%、处于偏高水平，已显著高于公认的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扬州市一般公共预算收入分别为347.57亿元、361.18亿元、376.30亿元，其中税收收入277.00亿元、279.71亿元、291.10亿元，税收占比维持在79.69%、77.44%、77.36%；一般公共预算支出711.24亿元、728.73亿元、717.90亿元，财政自给率48.87%、49.56%、52.42%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政府性基金收入方面，2023、2024、2025年分别为651.63亿元、620.69亿元、537.00亿元，政府性基金收入较2023年累计下降18%、土地财政贡献度弱化，反映地方综合财力对房地产周期的敞口。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图表：2023-2025年扬州市财政收入情况(单位:亿元、%)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361.18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279.71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728.73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717.90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-1.49%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-13.48%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资料来源:扬州市财政决算、企业预警通,风控信评部整理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扬州市经营性用地成交价分别为601.00亿元、523.97亿元、636.00亿元、609.40亿元、471.43亿元，2025年较2021年下降21.56%；同期平均溢价率为12.98%、3.53%、7.52%、20.89%、0.20%；成交楼面均价由3,055元/㎡降至2,189元/㎡、累计下降28.35%。2026年1-4月，扬州市经营性用地累计成交104宗、规划建面454.55万㎡、成交价89.71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图表:2021-2025年扬州市土地出让情况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1,967.03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12.98%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601.00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2,338.38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523.97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2,773.49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636.00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2,505.88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20.89%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609.40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2,153.19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471.43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454.55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89.71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从房地产销售看，2021-2025年扬州市商品住宅成交面积由220.16万㎡变动至90.58万㎡、累计下降58.9%；新房均价2025年为13,650元/㎡、较2022年高点(17,698元/㎡)累计下跌22.87%；2025年去化周期26.64个月。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扬州市地方政府债务余额分别为1,216.81亿元、1,430.20亿元、1,751.70亿元，2025年末债务限额1,777.80亿元，债务余额控制在限额以内；城投有息债务2025年末估算余额5,658.07亿元。债务率指标看，2025年末政府债务率182.13%、城投债务率588.28%、宽口径债务率770.41%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扬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