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恩施土家族苗族自治州信用评级报告(区域部分)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恩施土家族苗族自治州作为湖北省下辖的民族自治地区，经济总量列湖北省第11位，人均GDP约5.18万元、人均经济实力在省内相对靠后，经济增速维持在5.70%左右、总体平稳；固定资产投资最新增速3.90%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恩施土家族苗族自治州2023、2024、2025年地区生产总值分别为1,481.29亿元、1,651.66亿元、1,741.97亿元，同比增长6.00%、5.70%、5.70%。截至2025年末，全市常住人口335.23万人，人均GDP约5.18万元。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产业结构方面，2025年恩施土家族苗族自治州三次产业结构为17.9:22.7:59.4，第三产业占主导、服务业是经济主体，农业基础较好。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2023、2024、2025年固定资产投资增速分别为7.80%、7.80%、3.90%，2025年社会消费品零售总额1,017.68亿元，进出口总额8.13亿美元。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22,147.35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2.2:29.7:68.1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1,743.06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1386.19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6,464.42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10.8:39.5:49.7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390.06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6,113.85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荆州市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3,712.34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17.9:35.2:46.9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508.29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孝感市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3,398.86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黄冈市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17.5:32.3:50.2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十堰市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2,704.80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9:36.2:54.8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168.18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312.45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荆门市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2,602.26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253.43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2,430.28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咸宁市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2,033.31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14.3:32.3:53.4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258.93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恩施土家族苗族自治州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1,741.97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17.9:22.7:59.4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335.23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1,502.81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12.8:38.4:48.8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198.83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7.9:41.4:50.7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106.88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恩施土家族苗族自治州2025年GDP总量1,741.97亿元、列全省第11位，一般公共预算收入110.71亿元、列全省第11位。整体来看，恩施土家族苗族自治州经济基本面在湖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恩施土家族苗族自治州财政体量在湖北省处于中游，税收占比60.91%、税收质量较好，但政府性基金收入较2023年累计增长11%；2025年末宽口径债务率571.51%、处于偏高水平，已显著高于公认的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恩施土家族苗族自治州一般公共预算收入分别为93.07亿元、102.04亿元、110.71亿元，其中税收收入60.63亿元、63.39亿元、67.44亿元，税收占比维持在65.14%、62.12%、60.91%；一般公共预算支出473.00亿元、501.34亿元、461.15亿元，财政自给率19.68%、20.35%、24.01%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政府性基金收入方面，2023、2024、2025年分别为57.88亿元、59.57亿元、64.07亿元，政府性基金收入较2023年累计增长11%，反映地方综合财力对房地产周期的敞口。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图表：2023-2025年恩施土家族苗族自治州财政收入情况(单位:亿元、%)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102.04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501.34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461.15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-8.02%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资料来源:恩施土家族苗族自治州财政决算、企业预警通,风控信评部整理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土地市场方面，【待补充:恩施土家族苗族自治州土地出让与房地产销售数据（土地市场数据库未覆盖该市）】。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恩施土家族苗族自治州地方政府债务余额分别为627.21亿元、830.78亿元、985.32亿元，2025年末债务限额1,024.82亿元，债务余额控制在限额以内；城投有息债务2025年末估算余额61.22亿元。债务率指标看，2025年末政府债务率538.08%、城投债务率33.43%、宽口径债务率571.51%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恩施土家族苗族自治州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