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武汉市信用评级报告(区域部分)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武汉作为湖北省省会，经济总量在湖北省稳居第一，人均GDP约15.98万元、人均经济实力居全省前列，经济增速维持在5.60%左右、总体平稳；固定资产投资最新增速2.00%，经济运行总体平稳。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武汉市2023、2024、2025年地区生产总值分别为20,202.87亿元、21,106.23亿元、22,147.35亿元，同比增长5.60%、5.15%、5.60%。截至2025年末，全市常住人口1386.19万人，人均GDP约15.98万元（按当年GDP与常住人口估算）。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产业结构方面，2025年武汉市三次产业结构为2.2:29.7:68.1，以光电子信息、汽车、钢铁、生物医药为支柱，“中国光谷”所在地，聚集长江存储、东风汽车、烽火通信等企业，科教实力雄厚。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2023、2024、2025年固定资产投资增速分别为0.30%、3.10%、2.00%，2025年社会消费品零售总额9,013.96亿元，进出口总额635.70亿美元。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武汉市2025年GDP总量22,147.35亿元、列全省第一位，一般公共预算收入1,743.06亿元、列全省第一位。整体来看，武汉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武汉市财政体量在湖北省稳居第一，税收占比70.28%、税收质量较好，但政府性基金收入较2023年累计增长13%；2025年末宽口径债务率662.23%、处于偏高水平，已显著高于公认的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武汉市一般公共预算收入分别为1,601.20亿元、1,667.31亿元、1,743.06亿元，其中税收收入1,298.35亿元、1,223.56亿元、1,225.10亿元，税收占比维持在81.09%、73.39%、70.28%；一般公共预算支出2,204.08亿元、2,480.90亿元、2,520.61亿元，财政自给率72.65%、67.21%、69.15%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政府性基金收入方面，2023、2024、2025年分别为1,288.77亿元、1,485.61亿元、1,453.81亿元，政府性基金收入较2023年累计增长13%，反映地方综合财力对房地产周期的敞口。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图表：2023-2025年武汉市财政收入情况(单位:亿元、%)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1,667.31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1,223.56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2,520.61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1,485.61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-2.14%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资料来源:武汉市财政决算、企业预警通,风控信评部整理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武汉市经营性用地成交价分别为1,944.08亿元、935.12亿元、883.53亿元、734.37亿元、784.64亿元，2025年较2021年下降59.64%；同期平均溢价率为6.84%、0.67%、0.47%、0.79%、1.75%；成交楼面均价由4,591元/㎡降至3,137元/㎡、累计下降31.67%。2026年1-4月，武汉市经营性用地累计成交71宗、规划建面390.66万㎡、成交价45.73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图表:2021-2025年武汉市土地出让情况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4,234.88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4,591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1,944.08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2,026.76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935.12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2,230.49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3,961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883.53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2,281.02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784.64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390.66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45.73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武汉市商品住宅成交面积由2,280.49万㎡变动至1,192.63万㎡、累计下降47.7%；新房均价2025年为11,850元/㎡、较2023年高点(16,030元/㎡)累计下跌26.08%；2025年去化周期12.28个月。据中指冰山指数(最低挂牌价口径)，武汉二手房挂牌价较2018年7月高点累计下跌51.71%，2023年累计跌幅-10.68%、2024年累计跌幅-15.68%、2025年累计跌幅-17.60%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武汉市地方政府债务余额分别为6,846.00亿元、7,806.40亿元、8,895.97亿元，2025年末债务限额9,522.48亿元，债务余额控制在限额以内；城投有息债务2025年末估算余额12,741.85亿元。债务率指标看，2025年末政府债务率272.26%、城投债务率389.97%、宽口径债务率662.23%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武汉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