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荆门市信用评级报告(区域部分)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荆门作为湖北省下辖地级市，经济总量列湖北省第八位，人均GDP约10.23万元、人均经济实力居全省中游，经济增速由6.70%回落至6.20%、有所放缓；固定资产投资最新增速转负（-0.60%），经济动能仍有待修复。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荆门市2023、2024、2025年地区生产总值分别为2,272.30亿元、2,459.68亿元、2,602.26亿元，同比增长6.70%、6.67%、6.20%。截至2025年末，全市常住人口253.43万人，人均GDP约10.23万元。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产业结构方面，荆门作为湖北省下辖地级市，区域产业结构以本地优势产业为主。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2023、2024、2025年固定资产投资增速分别为6.80%、7.60%、-0.60%，2025年社会消费品零售总额1,139.19亿元，进出口总额34.76亿美元。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荆门市2025年GDP总量2,602.26亿元、列全省第八位，一般公共预算收入145.31亿元、列全省第九位。整体来看，荆门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荆门市财政体量在湖北省处于中游，税收占比63.59%、税收质量较好，但政府性基金收入较2023年累计下降53%、土地财政贡献度弱化；2025年末宽口径债务率930.29%、处于偏高水平，已显著高于公认的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荆门市一般公共预算收入分别为122.79亿元、132.60亿元、145.31亿元，其中税收收入84.07亿元、84.70亿元、92.40亿元，税收占比维持在68.47%、63.88%、63.59%；一般公共预算支出310.04亿元、362.90亿元、326.65亿元，财政自给率39.60%、36.54%、44.48%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政府性基金收入方面，2023、2024、2025年分别为71.65亿元、64.00亿元、33.70亿元，政府性基金收入较2023年累计下降53%、土地财政贡献度弱化，反映地方综合财力对房地产周期的敞口。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图表：2023-2025年荆门市财政收入情况(单位:亿元、%)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9.59%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9.09%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68.47%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17.05%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326.65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-9.99%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-47.34%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资料来源:荆门市财政决算、企业预警通,风控信评部整理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土地市场方面，【待补充:荆门市土地出让与房地产销售数据（土地市场数据库未覆盖该市）】。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荆门市地方政府债务余额分别为448.78亿元、540.56亿元、600.73亿元，2025年末债务限额663.30亿元，债务余额控制在限额以内；城投有息债务2025年末估算余额1,133.77亿元。债务率指标看，2025年末政府债务率322.20%、城投债务率608.09%、宽口径债务率930.29%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荆门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