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襄阳市信用评级报告(区域部分)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襄阳作为湖北省下辖地级市，经济总量列湖北省第三位，人均经济实力居省内中游，经济增速由4.80%回落至2.10%、有所放缓；固定资产投资最新增速8.40%，经济运行总体平稳。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襄阳市2023、2024、2025年地区生产总值分别为5,844.76亿元、6,102.41亿元、6,113.85亿元，同比增长4.80%、5.86%、2.10%。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产业结构方面，襄阳作为湖北省下辖地级市，以汽车及零部件、装备制造、新能源为支柱，是鄂西北中心城市，汽车产业基础较强。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2023、2024年固定资产投资增速分别为5.80%、8.40%，进出口总额45.93亿美元。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襄阳市2025年GDP总量6,113.85亿元、列全省第三位，一般公共预算收入303.72亿元、列全省第三位。整体来看，襄阳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襄阳市财政体量在湖北省位居前列，税收占比63.70%、税收质量较好，但政府性基金收入总体平稳；2025年末宽口径债务率746.26%、处于偏高水平，已显著高于公认的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襄阳市一般公共预算收入分别为265.56亿元、285.47亿元、303.72亿元，其中税收收入191.47亿元、192.55亿元、193.46亿元，税收占比维持在72.10%、67.45%、63.70%；一般公共预算支出704.98亿元、802.67亿元、758.31亿元，财政自给率37.67%、35.56%、40.05%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政府性基金收入方面，2023、2024、2025年分别为211.00亿元、232.11亿元、221.66亿元，政府性基金收入总体平稳，反映地方综合财力对房地产周期的敞口。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图表：2023-2025年襄阳市财政收入情况(单位:亿元、%)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-4.50%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资料来源:襄阳市财政决算、企业预警通,风控信评部整理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襄阳市经营性用地成交价分别为156.37亿元、95.63亿元、171.37亿元、70.91亿元、41.63亿元，2025年较2021年下降73.38%；同期平均溢价率为3.69%、1.02%、0.12%、2.86%、1.56%；成交楼面均价由1,046元/㎡降至576元/㎡、累计下降44.93%。2026年1-4月，襄阳市经营性用地累计成交41宗、规划建面209.20万㎡、成交价8.05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图表:2021-2025年襄阳市土地出让情况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1,493.54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1,037.48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95.63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1,609.23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171.37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814.68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70.91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722.50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209.20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8.05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从房地产销售看，2021-2025年襄阳市商品住宅成交面积由306.60万㎡变动至213.53万㎡、累计下降30.4%；新房均价2025年为8,198元/㎡、较2023年高点(10,145元/㎡)累计下跌19.19%；2025年去化周期69.12个月。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襄阳市地方政府债务余额分别为1,198.96亿元、1,421.48亿元、1,742.15亿元，2025年末债务限额1,816.93亿元，债务余额控制在限额以内；城投有息债务2025年末估算余额2,202.48亿元。债务率指标看，2025年末政府债务率329.59%、城投债务率416.68%、宽口径债务率746.26%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襄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