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娄底市信用评级报告(区域部分)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娄底作为湖南省下辖地级市，经济总量列湖南省第11位，人均GDP约6.04万元、人均经济实力居全省中游，经济增速由5.00%回升至5.70%、动能边际改善；固定资产投资最新增速转负（-16.30%），经济动能仍有待修复。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娄底市2023、2024、2025年地区生产总值分别为2,020.53亿元、2,128.85亿元、2,237.30亿元，同比增长5.00%、5.40%、5.70%。截至2025年末，全市常住人口368.28万人，人均GDP约6.04万元。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产业结构方面，2025年娄底市三次产业结构为10.9:37.6:51.5，第三产业占主导、服务业是经济主体。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2023、2024、2025年固定资产投资增速分别为0.70%、5.80%、-16.30%，2025年社会消费品零售总额976.25亿元，进出口总额17.76亿美元。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娄底市2025年GDP总量2,237.30亿元、列全省第11位，一般公共预算收入93.52亿元、列全省第12位。整体来看，娄底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娄底市财政体量在湖南省处于中游，税收占比55.52%、税收占比处于一般水平，但政府性基金收入较2023年累计下降50%、土地财政贡献度弱化；2025年末宽口径债务率1604.04%、处于偏高水平，已显著高于公认的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娄底市一般公共预算收入分别为91.70亿元、87.39亿元、93.52亿元，其中税收收入57.49亿元、52.71亿元、51.92亿元，税收占比维持在62.69%、60.32%、55.52%；一般公共预算支出360.45亿元、369.00亿元、386.65亿元，财政自给率25.44%、23.68%、24.19%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政府性基金收入方面，2023、2024年分别为66.19亿元、33.24亿元，政府性基金收入较2023年累计下降50%、土地财政贡献度弱化，反映地方综合财力对房地产周期的敞口。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图表：2023-2025年娄底市财政收入情况(单位:亿元、%)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-49.78%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资料来源:娄底市财政决算、企业预警通,风控信评部整理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土地市场方面，【待补充:娄底市土地出让与房地产销售数据（土地市场数据库未覆盖该市）】。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娄底市地方政府债务余额分别为667.36亿元、810.96亿元、939.55亿元，2025年末债务限额946.15亿元，债务余额控制在限额以内；城投有息债务2025年末估算余额560.54亿元。债务率指标看，2025年末政府债务率1004.65%、城投债务率599.38%、宽口径债务率1604.04%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娄底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