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岳阳市信用评级报告(区域部分)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岳阳作为湖南省下辖地级市，经济总量列湖南省第二位，人均经济实力居省内中游，经济增速由4.90%回升至5.50%、动能边际改善；固定资产投资连续负增长（最新-9.20%），经济动能仍有待修复。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岳阳市2023、2024、2025年地区生产总值分别为4,910.67亿元、5,113.83亿元、5,386.88亿元，同比增长4.90%、4.90%、5.50%。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产业结构方面，岳阳作为湖南省下辖地级市，区域产业结构以本地优势产业为主。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2023、2024、2025年固定资产投资增速分别为-7.20%、1.80%、-9.20%，2025年社会消费品零售总额1,980.05亿元，进出口总额70.19亿美元。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图表：2025年湖南省各地级市主要经济指标对比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长沙市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15,737.82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3.1:35:61.9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1,296.87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1072.14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岳阳市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5,386.88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207.00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常德市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4,770.90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11.1:36.3:52.6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192.68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510.70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衡阳市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4,689.55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10.5:31.1:58.4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185.22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636.36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株洲市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4,063.50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7.3:46:46.7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200.36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382.04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郴州市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3,502.08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10:38.5:51.5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200.14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455.74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湘潭市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3,077.23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11.48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6.3:45.3:48.4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107.53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267.02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邵阳市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2,883.50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16.2:32.6:51.2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115.10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621.70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永州市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2,829.58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16.8:32.3:50.9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153.00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494.86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益阳市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2,381.46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16:43.1:40.9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113.59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369.19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娄底市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2,237.30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10.9:37.6:51.5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93.52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368.28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怀化市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2,191.55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13.8:31.5:54.7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125.26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438.39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湘西土家族苗族自治州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889.50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14.7:20.6:64.7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79.89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236.06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张家界市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667.83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14.2:11.8:74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146.33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岳阳市2025年GDP总量5,386.88亿元、列全省第二位，一般公共预算收入207.00亿元、列全省第二位。整体来看，岳阳市经济基本面在湖南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岳阳市财政体量在湖南省位居前列，税收占比54.83%、税收占比处于一般水平，但政府性基金收入较2023年累计下降18%、土地财政贡献度弱化；2025年末宽口径债务率811.29%、处于偏高水平，已显著高于公认的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岳阳市一般公共预算收入分别为200.15亿元、200.52亿元、207.00亿元，其中税收收入131.06亿元、120.07亿元、113.50亿元，税收占比维持在65.48%、59.88%、54.83%；一般公共预算支出632.48亿元、620.93亿元、664.20亿元，财政自给率31.65%、32.29%、31.17%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政府性基金收入方面，2023、2024、2025年分别为271.95亿元、207.86亿元、224.10亿元，政府性基金收入较2023年累计下降18%、土地财政贡献度弱化，反映地方综合财力对房地产周期的敞口。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图表：2023-2025年岳阳市财政收入情况(单位:亿元、%)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200.15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8.17%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200.52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0.18%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207.00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3.23%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131.06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120.07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-8.39%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113.50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-5.47%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65.48%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59.88%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54.83%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632.48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620.93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-1.83%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664.20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6.97%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31.65%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32.29%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31.17%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271.95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207.86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-23.57%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224.10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7.81%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资料来源:岳阳市财政决算、企业预警通,风控信评部整理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土地市场方面，【待补充:岳阳市土地出让与房地产销售数据（土地市场数据库未覆盖该市）】。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岳阳市地方政府债务余额分别为1,099.04亿元、1,327.97亿元、1,579.84亿元，2025年末债务限额1,595.86亿元，债务余额控制在限额以内；城投有息债务2025年末估算余额1,917.63亿元。债务率指标看，2025年末政府债务率366.47%、城投债务率444.82%、宽口径债务率811.29%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岳阳市财政基本盘较为扎实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