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张家界市信用评级报告(区域部分)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张家界作为湖南省下辖地级市，经济总量列湖南省第14位，人均GDP约4.53万元、人均经济实力在省内相对靠后，经济增速由4.60%回落至3.00%、有所放缓；固定资产投资连续负增长（最新-7.40%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张家界市2023、2024、2025年地区生产总值分别为624.26亿元、654.41亿元、667.83亿元，同比增长4.60%、3.90%、3.00%。截至2025年末，全市常住人口146.33万人，人均GDP约4.53万元。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产业结构方面，2025年张家界市三次产业结构为14.2:11.8:74，第三产业占主导、服务业是经济主体。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2023、2024、2025年固定资产投资增速分别为-20.60%、-5.30%、-7.40%，2025年社会消费品零售总额261.41亿元，进出口总额1.69亿美元。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张家界市2025年GDP总量667.83亿元、列全省第14位，一般公共预算收入38.61亿元、列全省第14位。整体来看，张家界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张家界市财政体量在湖南省处于中游，税收占比52.10%、税收占比处于一般水平，但政府性基金收入较2023年累计增长29%；2025年末宽口径债务率1648.54%、处于偏高水平，已显著高于公认的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张家界市一般公共预算收入分别为35.88亿元、36.67亿元、38.61亿元，其中税收收入23.15亿元、22.46亿元、20.12亿元，税收占比维持在64.53%、61.26%、52.10%；一般公共预算支出222.38亿元、210.68亿元、215.72亿元，财政自给率16.13%、17.41%、17.90%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政府性基金收入方面，2023、2024、2025年分别为16.71亿元、8.79亿元、21.62亿元，政府性基金收入较2023年累计增长29%，反映地方综合财力对房地产周期的敞口。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图表：2023-2025年张家界市财政收入情况(单位:亿元、%)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-10.42%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222.38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-47.40%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145.96%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资料来源:张家界市财政决算、企业预警通,风控信评部整理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土地市场方面，【待补充:张家界市土地出让与房地产销售数据（土地市场数据库未覆盖该市）】。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张家界市地方政府债务余额分别为428.59亿元、547.47亿元、661.48亿元，2025年末债务限额666.68亿元，债务余额控制在限额以内；城投有息债务2025年末估算余额331.46亿元。债务率指标看，2025年末政府债务率1098.23%、城投债务率550.31%、宽口径债务率1648.54%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张家界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