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怀化市信用评级报告(区域部分)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怀化作为湖南省下辖地级市，经济总量列湖南省第12位，人均GDP约4.98万元、人均经济实力在省内相对靠后，经济增速维持在5.70%左右、总体平稳；固定资产投资最新增速3.60%，经济运行总体平稳。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怀化市2023、2024、2025年地区生产总值分别为1,978.38亿元、2,093.82亿元、2,191.55亿元，同比增长5.60%、5.30%、5.70%。截至2025年末，全市常住人口438.39万人，人均GDP约4.98万元。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产业结构方面，2025年怀化市三次产业结构为13.8:31.5:54.7，第三产业占主导、服务业是经济主体。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2023、2024、2025年固定资产投资增速分别为7.60%、11.20%、3.60%，2025年社会消费品零售总额812.82亿元，进出口总额15.72亿美元。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怀化市2025年GDP总量2,191.55亿元、列全省第12位，一般公共预算收入125.26亿元、列全省第八位。整体来看，怀化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怀化市财政体量在湖南省处于中游，税收占比58.77%、税收占比处于一般水平，但政府性基金收入较2023年累计下降22%、土地财政贡献度弱化；2025年末宽口径债务率1522.27%、处于偏高水平，已显著高于公认的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怀化市一般公共预算收入分别为124.18亿元、122.21亿元、125.26亿元，其中税收收入87.48亿元、74.71亿元、73.62亿元，税收占比维持在70.44%、61.14%、58.77%；一般公共预算支出560.38亿元、558.32亿元、553.52亿元，财政自给率22.16%、21.89%、22.63%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政府性基金收入方面，2023、2024年分别为107.04亿元、83.44亿元，政府性基金收入较2023年累计下降22%、土地财政贡献度弱化，反映地方综合财力对房地产周期的敞口。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图表：2023-2025年怀化市财政收入情况(单位:亿元、%)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资料来源:怀化市财政决算、企业预警通,风控信评部整理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土地市场方面，【待补充:怀化市土地出让与房地产销售数据（土地市场数据库未覆盖该市）】。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怀化市地方政府债务余额分别为1,008.72亿元、1,147.63亿元、1,334.16亿元，2025年末债务限额1,346.64亿元，债务余额控制在限额以内；城投有息债务2025年末估算余额572.63亿元。债务率指标看，2025年末政府债务率1065.11%、城投债务率457.16%、宽口径债务率1522.27%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怀化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