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株洲市信用评级报告(区域部分)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株洲作为湖南省下辖地级市，经济总量列湖南省第五位，人均GDP约10.61万元、人均经济实力居全省前列，经济增速维持在5.60%左右、总体平稳；固定资产投资连续负增长（最新-6.80%），经济动能仍有待修复。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株洲市2023、2024、2025年地区生产总值分别为3,688.40亿元、3,876.20亿元、4,063.50亿元，同比增长5.30%、5.30%、5.60%。截至2025年末，全市常住人口382.04万人，人均GDP约10.61万元。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产业结构方面，2025年株洲市三次产业结构为7.3:46:46.7，第三产业占主导、服务业是经济主体。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2023、2024、2025年固定资产投资增速分别为-5.90%、5.10%、-6.80%，2025年社会消费品零售总额1,448.50亿元，进出口总额36.81亿美元。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株洲市2025年GDP总量4,063.50亿元、列全省第五位，一般公共预算收入200.36亿元、列全省第三位。整体来看，株洲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株洲市财政体量在湖南省位居前列，税收占比59.73%、税收占比处于一般水平，但政府性基金收入较2023年累计下降39%、土地财政贡献度弱化；2025年末宽口径债务率2175.23%、处于偏高水平，已显著高于公认的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株洲市一般公共预算收入分别为192.32亿元、195.18亿元、200.36亿元，其中税收收入138.57亿元、119.54亿元、119.68亿元，税收占比维持在72.05%、61.24%、59.73%；一般公共预算支出592.43亿元、473.02亿元、490.25亿元，财政自给率32.46%、41.26%、40.87%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政府性基金收入方面，2023、2024年分别为199.67亿元、122.20亿元，政府性基金收入较2023年累计下降39%、土地财政贡献度弱化，反映地方综合财力对房地产周期的敞口。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图表：2023-2025年株洲市财政收入情况(单位:亿元、%)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473.02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资料来源:株洲市财政决算、企业预警通,风控信评部整理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土地市场方面，【待补充:株洲市土地出让与房地产销售数据（土地市场数据库未覆盖该市）】。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株洲市地方政府债务余额分别为1,179.50亿元、1,443.86亿元、1,694.06亿元，2025年末债务限额1,707.83亿元，债务余额控制在限额以内；城投有息债务2025年末估算余额2,664.22亿元。债务率指标看，2025年末政府债务率845.51%、城投债务率1329.72%、宽口径债务率2175.23%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株洲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