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湘潭市信用评级报告(区域部分)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湘潭作为湖南省下辖地级市，经济总量列湖南省第七位，人均GDP约11.48万元、人均经济实力居全省前列，经济增速由5.40%回落至4.80%、有所放缓；固定资产投资最新增速转负（-2.80%），经济动能仍有待修复。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湘潭市2023、2024、2025年地区生产总值分别为2,788.38亿元、2,957.06亿元、3,077.23亿元，同比增长5.40%、5.70%、4.80%。截至2025年末，全市常住人口267.02万人，人均GDP约11.48万元。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产业结构方面，2025年湘潭市三次产业结构为6.3:45.3:48.4，第三产业占主导、服务业是经济主体。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2023、2024、2025年固定资产投资增速分别为6.10%、6.40%、-2.80%，2025年社会消费品零售总额1,028.51亿元，进出口总额35.64亿美元。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湘潭市2025年GDP总量3,077.23亿元、列全省第七位，一般公共预算收入107.53亿元、列全省第11位。整体来看，湘潭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湘潭市财政体量在湖南省处于中游，税收占比68.01%、税收质量较好，但政府性基金收入较2023年累计下降53%、土地财政贡献度弱化；2025年末宽口径债务率3257.24%、处于偏高水平，已显著高于公认的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湘潭市一般公共预算收入分别为124.04亿元、102.42亿元、107.53亿元，其中税收收入83.56亿元、68.99亿元、73.13亿元，税收占比维持在67.36%、67.36%、68.01%；一般公共预算支出285.75亿元、292.69亿元、295.20亿元，财政自给率43.41%、34.99%、36.43%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政府性基金收入方面，2023、2024年分别为67.64亿元、31.67亿元，政府性基金收入较2023年累计下降53%、土地财政贡献度弱化，反映地方综合财力对房地产周期的敞口。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图表：2023-2025年湘潭市财政收入情况(单位:亿元、%)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-53.18%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资料来源:湘潭市财政决算、企业预警通,风控信评部整理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土地市场方面，【待补充:湘潭市土地出让与房地产销售数据（土地市场数据库未覆盖该市）】。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湘潭市地方政府债务余额分别为1,776.94亿元、2,085.74亿元、2,393.66亿元，2025年末债务限额2,401.76亿元，债务余额控制在限额以内；城投有息债务2025年末估算余额1,108.85亿元。债务率指标看，2025年末政府债务率2226.04%、城投债务率1031.20%、宽口径债务率3257.24%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湘潭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