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湘西土家族苗族自治州信用评级报告(区域部分)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湘西土家族苗族自治州作为湖南省下辖的民族自治地区，经济总量列湖南省第13位，人均GDP约3.74万元、人均经济实力在省内相对靠后，经济增速由3.00%回升至4.20%、动能边际改善；固定资产投资连续负增长（最新-9.80%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湘西土家族苗族自治州2023、2024、2025年地区生产总值分别为855.01亿元、855.95亿元、889.50亿元，同比增长3.00%、0.50%、4.20%。截至2025年末，全市常住人口236.06万人，人均GDP约3.74万元。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产业结构方面，2025年湘西土家族苗族自治州三次产业结构为14.7:20.6:64.7，第三产业占主导、服务业是经济主体。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2023、2024、2025年固定资产投资增速分别为-13.00%、-19.10%、-9.80%，2025年社会消费品零售总额330.00亿元，进出口总额2.27亿美元。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15,737.82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3.1:35:61.9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1072.14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岳阳市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5,386.88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11.1:36.3:52.6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4,689.55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10.5:31.1:58.4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株洲市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7.3:46:46.7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郴州市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10:38.5:51.5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3,077.23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6.3:45.3:48.4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621.70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2,829.58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16.8:32.3:50.9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益阳市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16:43.1:40.9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娄底市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10.9:37.6:51.5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368.28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怀化市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13.8:31.5:54.7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湘西土家族苗族自治州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14.7:20.6:64.7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14.2:11.8:74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146.33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湘西土家族苗族自治州2025年GDP总量889.50亿元、列全省第13位，一般公共预算收入79.89亿元、列全省第13位。整体来看，湘西土家族苗族自治州经济基本面在湖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湘西土家族苗族自治州财政体量在湖南省处于中游，税收占比47.46%、税收占比处于一般水平，但政府性基金收入较2023年累计增长17%；2025年末宽口径债务率204.11%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湘西土家族苗族自治州一般公共预算收入分别为79.90亿元、78.09亿元、79.89亿元，其中税收收入40.65亿元、37.17亿元、37.91亿元，税收占比维持在50.87%、47.59%、47.46%；一般公共预算支出370.14亿元、384.21亿元、354.65亿元，财政自给率21.58%、20.32%、22.53%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政府性基金收入方面，2023、2024、2025年分别为18.24亿元、15.20亿元、21.39亿元，政府性基金收入较2023年累计增长17%，反映地方综合财力对房地产周期的敞口。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图表：2023-2025年湘西土家族苗族自治州财政收入情况(单位:亿元、%)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354.65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-7.69%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-16.67%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40.72%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资料来源:湘西土家族苗族自治州财政决算、企业预警通,风控信评部整理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土地市场方面，【待补充:湘西土家族苗族自治州土地出让与房地产销售数据（土地市场数据库未覆盖该市）】。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湘西土家族苗族自治州地方政府债务余额分别为571.00亿元、663.03亿元、772.36亿元，2025年末债务限额778.87亿元，债务余额控制在限额以内；城投有息债务2025年末估算余额197.85亿元。债务率指标看，2025年末政府债务率162.49%、城投债务率41.62%、宽口径债务率204.11%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湘西土家族苗族自治州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