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益阳市信用评级报告(区域部分)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益阳作为湖南省下辖地级市，经济总量列湖南省第十位，人均GDP约6.41万元、人均经济实力居全省中游，经济增速由3.50%回升至5.50%、动能边际改善；固定资产投资最新增速转负（-4.90%），经济动能仍有待修复。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益阳市2023、2024、2025年地区生产总值分别为2,163.57亿元、2,268.18亿元、2,381.46亿元，同比增长3.50%、4.70%、5.50%。截至2025年末，全市常住人口369.19万人，人均GDP约6.41万元。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产业结构方面，2025年益阳市三次产业结构为16:43.1:40.9，第二产业占比较高、工业是经济支柱，农业基础较好。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2023、2024、2025年固定资产投资增速分别为6.80%、8.60%、-4.90%，2025年社会消费品零售总额1,013.42亿元，进出口总额11.64亿美元。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益阳市2025年GDP总量2,381.46亿元、列全省第十位，一般公共预算收入113.59亿元、列全省第十位。整体来看，益阳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益阳市财政体量在湖南省处于中游，税收占比57.22%、税收占比处于一般水平，但政府性基金收入较2023年累计下降14%、土地财政贡献度弱化；2025年末宽口径债务率1000.18%、处于偏高水平，已显著高于公认的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益阳市一般公共预算收入分别为106.40亿元、108.14亿元、113.59亿元，其中税收收入70.41亿元、65.38亿元、65.00亿元，税收占比维持在66.18%、60.46%、57.22%；一般公共预算支出417.25亿元、455.79亿元、432.03亿元，财政自给率25.50%、23.73%、26.29%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政府性基金收入方面，2023、2024、2025年分别为52.18亿元、32.11亿元、45.09亿元，政府性基金收入较2023年累计下降14%、土地财政贡献度弱化，反映地方综合财力对房地产周期的敞口。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图表：2023-2025年益阳市财政收入情况(单位:亿元、%)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432.03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-38.46%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资料来源:益阳市财政决算、企业预警通,风控信评部整理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土地市场方面，【待补充:益阳市土地出让与房地产销售数据（土地市场数据库未覆盖该市）】。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益阳市地方政府债务余额分别为687.30亿元、802.11亿元、916.92亿元，2025年末债务限额925.56亿元，债务余额控制在限额以内；城投有息债务2025年末估算余额683.72亿元。债务率指标看，2025年末政府债务率572.95%、城投债务率427.23%、宽口径债务率1000.18%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益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