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衡阳市信用评级报告(区域部分)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衡阳作为湖南省下辖地级市，经济总量列湖南省第四位，人均GDP约7.33万元、人均经济实力居全省中游，经济增速维持在5.20%左右、总体平稳；固定资产投资最新增速转负（-9.80%），经济动能仍有待修复。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衡阳市2023、2024、2025年地区生产总值分别为4,251.21亿元、4,480.98亿元、4,689.55亿元，同比增长5.40%、5.30%、5.20%。截至2025年末，全市常住人口636.36万人，人均GDP约7.33万元。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产业结构方面，2025年衡阳市三次产业结构为10.5:31.1:58.4，第三产业占主导、服务业是经济主体。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2023、2024、2025年固定资产投资增速分别为6.40%、8.10%、-9.80%，2025年社会消费品零售总额1,982.32亿元，进出口总额36.04亿美元。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15,737.82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3.1:35:61.9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1,296.87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1072.14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岳阳市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5,386.88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4,770.90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11.1:36.3:52.6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4,689.55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10.5:31.1:58.4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636.36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株洲市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4,063.50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7.3:46:46.7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382.04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郴州市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3,502.08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10:38.5:51.5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455.74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3,077.23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6.3:45.3:48.4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267.02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621.70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2,829.58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16.8:32.3:50.9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益阳市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2,381.46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16:43.1:40.9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娄底市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10.9:37.6:51.5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368.28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怀化市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2,191.55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13.8:31.5:54.7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438.39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湘西土家族苗族自治州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14.7:20.6:64.7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236.06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667.83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14.2:11.8:74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146.33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衡阳市2025年GDP总量4,689.55亿元、列全省第四位，一般公共预算收入185.22亿元、列全省第六位。整体来看，衡阳市经济基本面在湖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衡阳市财政体量在湖南省处于中游，税收占比64.51%、税收质量较好，但政府性基金收入总体平稳；2025年末宽口径债务率819.37%、处于偏高水平，已显著高于公认的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衡阳市一般公共预算收入分别为195.61亿元、195.98亿元、185.22亿元，其中税收收入134.55亿元、129.49亿元、119.49亿元，税收占比维持在68.79%、66.07%、64.51%；一般公共预算支出663.00亿元、694.20亿元、701.16亿元，财政自给率29.50%、28.23%、26.42%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政府性基金收入方面，2023、2024、2025年分别为225.64亿元、142.18亿元、208.71亿元，政府性基金收入总体平稳，反映地方综合财力对房地产周期的敞口。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图表：2023-2025年衡阳市财政收入情况(单位:亿元、%)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195.61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195.98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-5.49%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134.55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129.49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-7.72%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142.18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-36.99%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46.79%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资料来源:衡阳市财政决算、企业预警通,风控信评部整理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土地市场方面，【待补充:衡阳市土地出让与房地产销售数据（土地市场数据库未覆盖该市）】。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衡阳市地方政府债务余额分别为1,331.25亿元、1,444.03亿元、1,689.15亿元，2025年末债务限额1,700.46亿元，债务余额控制在限额以内；城投有息债务2025年末估算余额1,864.01亿元。债务率指标看，2025年末政府债务率389.53%、城投债务率429.85%、宽口径债务率819.37%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衡阳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