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郴州市信用评级报告(区域部分)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郴州作为湖南省下辖地级市，经济总量列湖南省第六位，人均GDP约7.67万元、人均经济实力居全省中游，经济增速由5.00%回升至5.50%、动能边际改善；固定资产投资最新增速0.10%，经济运行总体平稳。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郴州市2023、2024、2025年地区生产总值分别为3,141.99亿元、3,323.39亿元、3,502.08亿元，同比增长5.00%、5.60%、5.50%。截至2025年末，全市常住人口455.74万人，人均GDP约7.67万元。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产业结构方面，2025年郴州市三次产业结构为10:38.5:51.5，第三产业占主导、服务业是经济主体。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2023、2024、2025年固定资产投资增速分别为7.30%、8.10%、0.10%，2025年社会消费品零售总额1,200.41亿元，进出口总额69.73亿美元。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郴州市2025年GDP总量3,502.08亿元、列全省第六位，一般公共预算收入200.14亿元、列全省第四位。整体来看，郴州市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郴州市财政体量在湖南省处于中游，税收占比65.11%、税收质量较好，但政府性基金收入较2023年累计增长12%；2025年末宽口径债务率320.80%、处于偏高水平，已显著高于公认的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郴州市一般公共预算收入分别为188.03亿元、193.37亿元、200.14亿元，其中税收收入130.54亿元、129.94亿元、130.31亿元，税收占比维持在69.43%、67.19%、65.11%；一般公共预算支出560.82亿元、581.30亿元、589.13亿元，财政自给率33.53%、33.27%、33.97%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政府性基金收入方面，2023、2024、2025年分别为120.37亿元、130.51亿元、134.70亿元，政府性基金收入较2023年累计增长12%，反映地方综合财力对房地产周期的敞口。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图表：2023-2025年郴州市财政收入情况(单位:亿元、%)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129.94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560.82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589.13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资料来源:郴州市财政决算、企业预警通,风控信评部整理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土地市场方面，【待补充:郴州市土地出让与房地产销售数据（土地市场数据库未覆盖该市）】。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郴州市地方政府债务余额分别为1,196.55亿元、1,390.95亿元、1,589.21亿元，2025年末债务限额1,600.54亿元，债务余额控制在限额以内；城投有息债务2025年末估算余额1,229.30亿元。债务率指标看，2025年末政府债务率180.88%、城投债务率139.92%、宽口径债务率320.80%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郴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