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长沙市信用评级报告(区域部分)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长沙作为湖南省省会，经济总量在湖南省稳居第一，人均GDP约14.68万元、人均经济实力居全省前列，经济增速由4.90%回落至4.00%、有所放缓；固定资产投资连续负增长（最新-19.30%），经济动能仍有待修复。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长沙市2023、2024、2025年地区生产总值分别为14,517.55亿元、15,268.78亿元、15,737.82亿元，同比增长4.90%、5.00%、4.00%。截至2025年末，全市常住人口1072.14万人，人均GDP约14.68万元（按当年GDP与常住人口估算）。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产业结构方面，2025年长沙市三次产业结构为3.1:35:61.9，以工程机械、汽车、电子信息、文化创意为支柱，“工程机械之都”，聚集三一重工、中联重科、山河智能等企业。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2023、2024、2025年固定资产投资增速分别为-6.80%、2.30%、-19.30%，2025年社会消费品零售总额5,738.93亿元，进出口总额402.55亿美元。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长沙市2025年GDP总量15,737.82亿元、列全省第一位，一般公共预算收入1,296.87亿元、列全省第一位。整体来看，长沙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长沙市财政体量在湖南省稳居第一，税收占比—、税收占比处于一般水平，但政府性基金收入较2023年累计下降41%、土地财政贡献度弱化；2025年末宽口径债务率671.50%、处于偏高水平，已显著高于公认的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长沙市一般公共预算收入分别为1,227.07亿元、1,264.54亿元、1,296.87亿元，其中税收收入821.03亿元、786.97亿元、—亿元，税收占比维持在66.91%、62.23%、—；一般公共预算支出1,626.83亿元、1,663.94亿元、1,625.77亿元，财政自给率75.43%、76.00%、79.77%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政府性基金收入方面，2023、2024、2025年分别为902.83亿元、576.80亿元、528.70亿元，政府性基金收入较2023年累计下降41%、土地财政贡献度弱化，反映地方综合财力对房地产周期的敞口。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图表：2023-2025年长沙市财政收入情况(单位:亿元、%)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1,264.54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821.03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786.97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1,663.94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1,625.77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902.83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-36.11%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-8.34%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资料来源:长沙市财政决算、企业预警通,风控信评部整理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长沙市经营性用地成交价分别为1,166.64亿元、860.64亿元、741.32亿元、546.59亿元、360.77亿元，2025年较2021年下降69.08%；同期平均溢价率为4.03%、1.22%、1.47%、2.34%、2.62%；成交楼面均价由2,066元/㎡降至1,676元/㎡、累计下降18.88%。2026年1-4月，长沙市经营性用地累计成交31宗、规划建面225.79万㎡、成交价50.81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图表:2021-2025年长沙市土地出让情况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5,647.35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2,066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1,166.64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4,294.91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860.64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4,133.39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741.32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2,963.16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1,845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546.59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2,150.91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360.77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225.79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50.81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长沙市商品住宅成交面积由1,353.85万㎡变动至323.51万㎡、累计下降76.1%；新房均价2025年为13,736元/㎡、较2023年高点(14,463元/㎡)累计下跌5.03%；2025年去化周期32.04个月。据中指冰山指数(最低挂牌价口径)，长沙二手房挂牌价较2018年7月高点累计下跌31.68%，2023年累计跌幅-4.52%、2024年累计跌幅-9.91%、2025年累计跌幅-13.12%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长沙市地方政府债务余额分别为3,050.13亿元、3,211.59亿元、3,671.38亿元，2025年末债务限额3,706.82亿元，债务余额控制在限额以内；城投有息债务2025年末估算余额8,720.59亿元。债务率指标看，2025年末政府债务率198.94%、城投债务率472.55%、宽口径债务率671.50%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长沙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