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临夏回族自治州信用评级报告(区域部分)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临夏回族自治州作为甘肃省下辖的民族自治地区，经济总量列甘肃省第12位，人均GDP约2.60万元、人均经济实力在省内相对靠后，经济增速由6.70%回落至5.60%、有所放缓；固定资产投资最新增速转负（-11.60%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临夏回族自治州2023、2024、2025年地区生产总值分别为473.60亿元、508.02亿元、546.60亿元，同比增长6.70%、7.00%、5.60%。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产业结构方面，2025年临夏回族自治州三次产业结构为17.6:20.6:61.8，第三产业占主导、服务业是经济主体，农业基础较好。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2023、2024、2025年固定资产投资增速分别为30.02%、7.79%、-11.60%，2025年社会消费品零售总额164.40亿元，进出口总额0.15亿美元。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图表：2025年甘肃省各地级市主要经济指标对比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兰州市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1.93:32.51:65.56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260.91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庆阳市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1,235.32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12.03:49.09:38.88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酒泉市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1,103.60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14.6:45.4:40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天水市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980.88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18.4:20.6:61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武威市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802.27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定西市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793.94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6.90%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白银市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789.23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17.36:37.76:44.88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754.88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23.3:29.2:47.5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张掖市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734.35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25.1:20.3:54.6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陇南市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716.00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金昌市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670.24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5.5:68.4:26.1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临夏回族自治州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17.6:20.6:61.8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嘉峪关市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1.9:49:49.1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甘南藏族自治州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18.05:16.45:65.5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临夏回族自治州2025年GDP总量546.60亿元、列全省第12位，一般公共预算收入25.34亿元、列全省第13位。整体来看，临夏回族自治州经济基本面在甘肃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临夏回族自治州财政体量在甘肃省处于中游，税收占比68.76%、税收质量较好，但政府性基金收入较2023年累计增长63%；2025年末宽口径债务率927.63%、处于偏高水平，已显著高于公认的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临夏回族自治州一般公共预算收入分别为22.08亿元、23.49亿元、25.34亿元，其中税收收入14.91亿元、15.63亿元、17.42亿元，税收占比维持在67.54%、66.55%、68.76%；一般公共预算支出334.24亿元、384.17亿元、323.48亿元，财政自给率6.61%、6.11%、7.83%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政府性基金收入方面，2023、2024、2025年分别为17.82亿元、13.21亿元、29.11亿元，政府性基金收入较2023年累计增长63%，反映地方综合财力对房地产周期的敞口。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图表：2023-2025年临夏回族自治州财政收入情况(单位:亿元、%)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11.45%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67.54%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334.24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384.17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323.48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-15.80%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-25.87%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120.36%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资料来源:临夏回族自治州财政决算、企业预警通,风控信评部整理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土地市场方面，【待补充:临夏回族自治州土地出让与房地产销售数据（土地市场数据库未覆盖该市）】。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临夏回族自治州地方政府债务余额分别为378.22亿元、441.48亿元、505.74亿元，2025年末债务限额510.86亿元，债务余额控制在限额以内；城投有息债务2025年末估算余额—亿元。债务率指标看，2025年末政府债务率927.63%、城投债务率—、宽口径债务率927.63%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临夏回族自治州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