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晋中市信用评级报告(区域部分)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晋中作为山西省下辖地级市，经济总量列山西省第五位，人均GDP约7.43万元、人均经济实力居全省中游，经济增速维持在4.50%左右、总体平稳；固定资产投资连续负增长（最新3.80%），经济运行总体平稳。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晋中市2023、2024、2025年地区生产总值分别为2,516.60亿元、2,445.50亿元、2,462.60亿元，同比增长4.50%、2.20%、4.50%。截至2025年末，全市常住人口329.45万人，人均GDP约7.43万元。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产业结构方面，2025年晋中市三次产业结构为6.1:39.7:54.2，第三产业占主导、服务业是经济主体。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2023、2024、2025年固定资产投资增速分别为-19.00%、-1.00%、3.80%，2025年社会消费品零售总额768.70亿元，进出口总额8.74亿美元。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图表：2025年山西省各地级市主要经济指标对比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太原市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5,382.45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0.9:28:71.1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443.07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552.61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吕梁市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2,575.02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4.24:54.52:41.24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278.26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328.08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长治市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2,558.30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307.50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临汾市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2,513.80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7.9:40.9:51.2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162.79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383.14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晋中市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2,462.60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6.1:39.7:54.2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185.14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329.45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晋城市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2,429.90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3.2:55.4:41.4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230.58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运城市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2,248.00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16.4:32.3:51.3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463.23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1,815.00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6.6:31.4:62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175.39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304.43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忻州市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1,330.40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8.8:37.3:53.9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148.17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256.50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朔州市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1,303.70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7.5:38.4:54.1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123.72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156.10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阳泉市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870.60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2.1:41.1:56.8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128.02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晋中市2025年GDP总量2,462.60亿元、列全省第五位，一般公共预算收入185.14亿元、列全省第五位。整体来看，晋中市经济基本面在山西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晋中市财政体量在山西省处于中游，税收占比76.82%、税收质量较好，但政府性基金收入较2023年累计下降34%、土地财政贡献度弱化；2025年末宽口径债务率404.12%、处于偏高水平，已显著高于公认的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晋中市一般公共预算收入分别为194.57亿元、179.44亿元、185.14亿元，其中税收收入139.79亿元、127.63亿元、142.22亿元，税收占比维持在71.85%、71.13%、76.82%；一般公共预算支出439.50亿元、425.88亿元、403.78亿元，财政自给率44.27%、42.13%、45.85%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政府性基金收入方面，2023、2024、2025年分别为30.14亿元、35.00亿元、19.81亿元，政府性基金收入较2023年累计下降34%、土地财政贡献度弱化，反映地方综合财力对房地产周期的敞口。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图表：2023-2025年晋中市财政收入情况(单位:亿元、%)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194.57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179.44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-7.78%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185.14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139.79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127.63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-8.70%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142.22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11.43%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71.85%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71.13%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76.82%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439.50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425.88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403.78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-5.19%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44.27%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42.13%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45.85%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16.12%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-43.40%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资料来源:晋中市财政决算、企业预警通,风控信评部整理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土地市场方面，【待补充:晋中市土地出让与房地产销售数据（土地市场数据库未覆盖该市）】。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晋中市地方政府债务余额分别为545.12亿元、599.26亿元、716.80亿元，2025年末债务限额731.19亿元，债务余额控制在限额以内；城投有息债务2025年末估算余额116.93亿元。债务率指标看，2025年末政府债务率347.45%、城投债务率56.68%、宽口径债务率404.12%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晋中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