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晋城市信用评级报告(区域部分)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晋城作为山西省下辖地级市，经济总量列山西省第六位，人均GDP约11.28万元、人均经济实力居全省前列，经济增速由7.10%回落至6.30%、有所放缓；固定资产投资最新增速8.00%，经济运行总体平稳。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晋城市2023、2024、2025年地区生产总值分别为2,364.60亿元、2,396.40亿元、2,429.90亿元，同比增长7.10%、6.70%、6.30%。截至2025年末，全市常住人口215.00万人，人均GDP约11.28万元。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产业结构方面，2025年晋城市三次产业结构为3.2:55.4:41.4，第二产业占比较高、工业是经济支柱。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2023、2024、2025年固定资产投资增速分别为0.80%、7.30%、8.00%，2025年社会消费品零售总额636.50亿元，进出口总额6.07亿美元。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晋城市2025年GDP总量2,429.90亿元、列全省第六位，一般公共预算收入230.58亿元、列全省第三位。整体来看，晋城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晋城市财政体量在山西省位居前列，税收占比47.03%、税收占比处于一般水平，但政府性基金收入较2023年累计增长31%；2025年末宽口径债务率378.65%、处于偏高水平，已显著高于公认的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晋城市一般公共预算收入分别为277.19亿元、256.56亿元、230.58亿元，其中税收收入139.95亿元、124.50亿元、108.45亿元，税收占比维持在50.49%、48.53%、47.03%；一般公共预算支出431.24亿元、414.39亿元、392.05亿元，财政自给率64.28%、61.91%、58.81%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政府性基金收入方面，2023、2024、2025年分别为30.92亿元、26.52亿元、40.64亿元，政府性基金收入较2023年累计增长31%，反映地方综合财力对房地产周期的敞口。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图表：2023-2025年晋城市财政收入情况(单位:亿元、%)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资料来源:晋城市财政决算、企业预警通,风控信评部整理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土地市场方面，【待补充:晋城市土地出让与房地产销售数据（土地市场数据库未覆盖该市）】。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晋城市地方政府债务余额分别为350.67亿元、411.92亿元、502.83亿元，2025年末债务限额502.83亿元，债务余额控制在限额以内；城投有息债务2025年末估算余额527.93亿元。债务率指标看，2025年末政府债务率184.72%、城投债务率193.94%、宽口径债务率378.65%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晋城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