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朔州市信用评级报告(区域部分)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朔州作为山西省下辖地级市，经济总量列山西省第十位，人均GDP约8.35万元、人均经济实力居全省前列，经济增速由4.70%回落至2.80%、有所放缓；固定资产投资最新增速转负（-2.60%），经济动能仍有待修复。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朔州市2023、2024、2025年地区生产总值分别为1,539.37亿元、1,328.54亿元、1,303.70亿元，同比增长4.70%、-0.50%、2.80%。截至2025年末，全市常住人口156.10万人，人均GDP约8.35万元（按当年GDP与常住人口估算）。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产业结构方面，2025年朔州市三次产业结构为7.5:38.4:54.1，第三产业占主导、服务业是经济主体。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2023、2024、2025年固定资产投资增速分别为1.60%、3.20%、-2.60%，2025年社会消费品零售总额246.30亿元，进出口总额1.15亿美元。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朔州市2025年GDP总量1,303.70亿元、列全省第十位，一般公共预算收入123.72亿元、列全省第九位。整体来看，朔州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朔州市财政体量在山西省处于中游，税收占比86.22%、税收质量较好，但政府性基金收入较2023年累计下降20%、土地财政贡献度弱化；2025年末宽口径债务率256.41%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朔州市一般公共预算收入分别为150.31亿元、131.36亿元、123.72亿元，其中税收收入129.62亿元、113.42亿元、106.67亿元，税收占比维持在86.24%、86.34%、86.22%；一般公共预算支出292.47亿元、261.46亿元、246.85亿元，财政自给率51.39%、50.24%、50.12%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政府性基金收入方面，2023、2024、2025年分别为24.74亿元、22.10亿元、19.74亿元，政府性基金收入较2023年累计下降20%、土地财政贡献度弱化，反映地方综合财力对房地产周期的敞口。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图表：2023-2025年朔州市财政收入情况(单位:亿元、%)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资料来源:朔州市财政决算、企业预警通,风控信评部整理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土地市场方面，【待补充:朔州市土地出让与房地产销售数据（土地市场数据库未覆盖该市）】。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朔州市地方政府债务余额分别为273.71亿元、305.42亿元、354.58亿元，2025年末债务限额354.58亿元，债务余额控制在限额以内；城投有息债务2025年末估算余额15.17亿元。债务率指标看，2025年末政府债务率245.89%、城投债务率10.52%、宽口径债务率256.41%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朔州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