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运城市信用评级报告(区域部分)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运城作为山西省下辖地级市，经济总量列山西省第七位，人均GDP约4.85万元、人均经济实力在省内相对靠后，经济增速由5.50%回升至6.00%、动能边际改善；固定资产投资最新增速6.10%，经济运行总体平稳。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运城市2023、2024、2025年地区生产总值分别为2,187.70亿元、2,178.50亿元、2,248.00亿元，同比增长5.50%、3.40%、6.00%。截至2025年末，全市常住人口463.23万人，人均GDP约4.85万元（按当年GDP与常住人口估算）。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产业结构方面，2025年运城市三次产业结构为16.4:32.3:51.3，第三产业占主导、服务业是经济主体，农业基础较好。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2023、2024、2025年固定资产投资增速分别为2.60%、0.20%、6.10%，2025年社会消费品零售总额824.50亿元。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运城市2025年GDP总量2,248.00亿元、列全省第七位，一般公共预算收入115.07亿元、列全省第十位。整体来看，运城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运城市财政体量在山西省处于中游，税收占比75.75%、税收质量较好，但政府性基金收入较2023年累计下降24%、土地财政贡献度弱化；2025年末宽口径债务率506.24%、处于偏高水平，已显著高于公认的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运城市一般公共预算收入分别为124.64亿元、113.55亿元、115.07亿元，其中税收收入83.01亿元、73.50亿元、87.17亿元，税收占比维持在66.60%、64.73%、75.75%；一般公共预算支出519.17亿元、535.16亿元、511.25亿元，财政自给率24.01%、21.22%、22.51%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政府性基金收入方面，2023、2024、2025年分别为47.07亿元、35.58亿元、35.95亿元，政府性基金收入较2023年累计下降24%、土地财政贡献度弱化，反映地方综合财力对房地产周期的敞口。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图表：2023-2025年运城市财政收入情况(单位:亿元、%)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519.17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535.16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-4.47%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-24.41%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资料来源:运城市财政决算、企业预警通,风控信评部整理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土地市场方面，【待补充:运城市土地出让与房地产销售数据（土地市场数据库未覆盖该市）】。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运城市地方政府债务余额分别为421.55亿元、508.72亿元、614.96亿元，2025年末债务限额622.38亿元，债务余额控制在限额以内；城投有息债务2025年末估算余额153.08亿元。债务率指标看，2025年末政府债务率405.34%、城投债务率100.90%、宽口径债务率506.24%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运城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