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长治市信用评级报告(区域部分)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长治作为山西省下辖地级市，经济总量列山西省第三位，人均GDP约8.32万元、人均经济实力居全省中游，经济增速由5.60%回落至4.30%、有所放缓；固定资产投资最新增速0.50%，经济运行总体平稳。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长治市2023、2024、2025年地区生产总值分别为2,683.40亿元、2,579.00亿元、2,558.30亿元，同比增长5.60%、2.50%、4.30%。截至2025年末，全市常住人口307.50万人，人均GDP约8.32万元（按当年GDP与常住人口估算）。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产业结构方面，长治作为山西省下辖地级市，区域产业结构以本地优势产业为主。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2023、2024、2025年固定资产投资增速分别为1.60%、6.10%、0.50%，2025年社会消费品零售总额672.10亿元，进出口总额2.25亿美元。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太原市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0.9:28:71.1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552.61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吕梁市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4.24:54.52:41.24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长治市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7.9:40.9:51.2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6.1:39.7:54.2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3.2:55.4:41.4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16.4:32.3:51.3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6.6:31.4:62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忻州市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8.8:37.3:53.9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朔州市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7.5:38.4:54.1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2.1:41.1:56.8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128.02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长治市2025年GDP总量2,558.30亿元、列全省第三位，一般公共预算收入215.70亿元、列全省第四位。整体来看，长治市经济基本面在山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长治市财政体量在山西省处于中游，税收占比69.21%、税收质量较好，但政府性基金收入较2023年累计下降25%、土地财政贡献度弱化；2025年末宽口径债务率103.93%、处于可控水平，整体处于可控水平。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长治市一般公共预算收入分别为315.08亿元、284.73亿元、215.70亿元，其中税收收入237.55亿元、182.07亿元、149.28亿元，税收占比维持在75.40%、63.95%、69.21%；一般公共预算支出572.62亿元、551.12亿元、493.97亿元，财政自给率55.02%、51.66%、43.67%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政府性基金收入方面，2023、2024、2025年分别为55.27亿元、39.13亿元、41.53亿元，政府性基金收入较2023年累计下降25%、土地财政贡献度弱化，反映地方综合财力对房地产周期的敞口。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图表：2023-2025年长治市财政收入情况(单位:亿元、%)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-24.24%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572.62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551.12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-10.37%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-29.20%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资料来源:长治市财政决算、企业预警通,风控信评部整理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土地市场方面，【待补充:长治市土地出让与房地产销售数据（土地市场数据库未覆盖该市）】。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长治市地方政府债务余额分别为423.84亿元、477.15亿元、565.90亿元，2025年末债务限额565.90亿元，债务余额控制在限额以内；城投有息债务2025年末估算余额107.23亿元。债务率指标看，2025年末政府债务率87.37%、城投债务率16.56%、宽口径债务率103.93%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长治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