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阳泉市信用评级报告(区域部分)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阳泉作为山西省下辖地级市，经济总量列山西省第11位，人均GDP约6.79万元、人均经济实力居全省中游，经济增速由3.10%回升至4.40%、动能边际改善；固定资产投资连续负增长（最新7.00%），经济运行总体平稳。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阳泉市2023、2024、2025年地区生产总值分别为904.40亿元、851.50亿元、870.60亿元，同比增长3.10%、-0.90%、4.40%。截至2025年末，全市常住人口128.02万人，人均GDP约6.79万元。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产业结构方面，2025年阳泉市三次产业结构为2.1:41.1:56.8，第三产业占主导、服务业是经济主体。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2023、2024、2025年固定资产投资增速分别为-11.30%、-14.20%、7.00%，2025年社会消费品零售总额204.53亿元，进出口总额3.65亿美元。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阳泉市2025年GDP总量870.60亿元、列全省第11位，一般公共预算收入73.17亿元、列全省第11位。整体来看，阳泉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阳泉市财政体量在山西省处于中游，税收占比65.02%、税收质量较好，但政府性基金收入较2023年累计下降41%、土地财政贡献度弱化；2025年末宽口径债务率224.77%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阳泉市一般公共预算收入分别为83.07亿元、74.71亿元、73.17亿元，其中税收收入60.44亿元、52.12亿元、47.57亿元，税收占比维持在72.75%、69.76%、65.02%；一般公共预算支出168.21亿元、168.38亿元、168.24亿元，财政自给率49.39%、44.37%、43.49%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政府性基金收入方面，2023、2024、2025年分别为23.86亿元、15.66亿元、14.02亿元，政府性基金收入较2023年累计下降41%、土地财政贡献度弱化，反映地方综合财力对房地产周期的敞口。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图表：2023-2025年阳泉市财政收入情况(单位:亿元、%)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-10.47%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资料来源:阳泉市财政决算、企业预警通,风控信评部整理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土地市场方面，【待补充:阳泉市土地出让与房地产销售数据（土地市场数据库未覆盖该市）】。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阳泉市地方政府债务余额分别为313.71亿元、343.99亿元、405.10亿元，2025年末债务限额—亿元，债务余额控制在限额以内；城投有息债务2025年末估算余额—亿元。债务率指标看，2025年末政府债务率224.77%、城投债务率—、宽口径债务率224.77%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阳泉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