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东莞市信用评级报告(区域部分)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东莞作为广东省下辖地级市，经济总量列广东省第四位，人均GDP约11.94万元、人均经济实力居全省前列，经济增速由2.87%回升至4.00%、动能边际改善；固定资产投资最新增速1.30%，经济运行总体平稳。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东莞市2023、2024、2025年地区生产总值分别为11,869.83亿元、12,348.61亿元、12,760.20亿元，同比增长2.87%、4.70%、4.00%。截至2025年末，全市常住人口1080.04万人，人均GDP约11.94万元。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产业结构方面，2025年东莞市三次产业结构为0.3:56.1:43.6，以电子信息、电气机械、智能制造为支柱，是全球重要的电子信息制造基地，聚集华为终端、OPPO、vivo等企业。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2023、2024、2025年固定资产投资增速分别为2.70%、-6.86%、1.30%，2025年社会消费品零售总额4,446.00亿元，进出口总额2,211.19亿美元。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东莞市2025年GDP总量12,760.20亿元、列全省第四位，一般公共预算收入891.73亿元、列全省第三位。整体来看，东莞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东莞市财政体量在广东省位居前列，税收占比72.86%、税收质量较好，但政府性基金收入较2023年累计下降63%、土地财政贡献度弱化；2025年末宽口径债务率359.48%、处于偏高水平，已显著高于公认的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东莞市一般公共预算收入分别为805.09亿元、789.43亿元、891.73亿元，其中税收收入605.40亿元、565.40亿元、649.68亿元，税收占比维持在75.20%、71.62%、72.86%；一般公共预算支出905.85亿元、912.17亿元、915.60亿元，财政自给率88.88%、86.54%、97.39%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政府性基金收入方面，2023、2024、2025年分别为377.81亿元、163.98亿元、138.49亿元，政府性基金收入较2023年累计下降63%、土地财政贡献度弱化，反映地方综合财力对房地产周期的敞口。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图表：2023-2025年东莞市财政收入情况(单位:亿元、%)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805.09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649.68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905.85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-15.54%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资料来源:东莞市财政决算、企业预警通,风控信评部整理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东莞市经营性用地成交价分别为654.86亿元、421.78亿元、141.03亿元、89.25亿元、85.53亿元，2025年较2021年下降86.94%；同期平均溢价率为20.05%、3.18%、7.25%、0.18%、6.25%；成交楼面均价由4,292元/㎡降至1,218元/㎡、累计下降71.62%。2026年1-4月，东莞市经营性用地累计成交40宗、规划建面457.59万㎡、成交价42.88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图表:2021-2025年东莞市土地出让情况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1,525.88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654.86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1,331.49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3,168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421.78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1,714.24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141.03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1,564.64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89.25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702.03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85.53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457.59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东莞市商品住宅成交面积由478.22万㎡变动至182.00万㎡、累计下降61.9%；新房均价2025年为20,293元/㎡、较2023年高点(32,790元/㎡)累计下跌38.11%；2025年去化周期24.59个月。据中指冰山指数(最低挂牌价口径)，东莞二手房挂牌价较2021年5月高点累计下跌51.58%，2023年累计跌幅-14.33%、2024年累计跌幅-21.66%、2025年累计跌幅-14.50%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东莞市地方政府债务余额分别为1,622.65亿元、1,989.59亿元、2,358.28亿元，2025年末债务限额2,366.52亿元，债务余额控制在限额以内；城投有息债务2025年末估算余额1,381.28亿元。债务率指标看，2025年末政府债务率226.70%、城投债务率132.78%、宽口径债务率359.48%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东莞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