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中山市信用评级报告(区域部分)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中山作为广东省下辖地级市，经济总量列广东省第八位，人均经济实力居省内中游，经济增速由5.94%回落至3.80%、有所放缓；固定资产投资连续负增长（最新-22.60%），经济动能仍有待修复。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中山市2023、2024、2025年地区生产总值分别为4,020.39亿元、4,132.93亿元、4,260.56亿元，同比增长5.94%、3.70%、3.80%。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产业结构方面，中山作为广东省下辖地级市，区域产业结构以本地优势产业为主。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2023、2024、2025年固定资产投资增速分别为1.80%、-2.62%、-22.60%，2025年社会消费品零售总额1,604.29亿元，进出口总额401.31亿美元。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中山市2025年GDP总量4,260.56亿元、列全省第八位，一般公共预算收入380.01亿元、列全省第七位。整体来看，中山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中山市财政体量在广东省处于中游，税收占比60.31%、税收质量较好，但政府性基金收入较2023年累计下降31%、土地财政贡献度弱化；2025年末宽口径债务率429.67%、处于偏高水平，已显著高于公认的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中山市一般公共预算收入分别为332.98亿元、342.52亿元、380.01亿元，其中税收收入209.70亿元、197.81亿元、229.20亿元，税收占比维持在62.98%、57.75%、60.31%；一般公共预算支出465.87亿元、422.59亿元、441.89亿元，财政自给率71.48%、81.05%、86.00%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政府性基金收入方面，2023、2024、2025年分别为115.81亿元、50.88亿元、80.40亿元，政府性基金收入较2023年累计下降31%、土地财政贡献度弱化，反映地方综合财力对房地产周期的敞口。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图表：2023-2025年中山市财政收入情况(单位:亿元、%)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15.87%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441.89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-56.07%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土地市场方面，【待补充:中山市土地出让与房地产销售数据（土地市场数据库未覆盖该市）】。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中山市地方政府债务余额分别为876.34亿元、1,095.74亿元、1,326.99亿元，2025年末债务限额1,329.78亿元，债务余额控制在限额以内；城投有息债务2025年末估算余额663.73亿元。债务率指标看，2025年末政府债务率286.42%、城投债务率143.26%、宽口径债务率429.67%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中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