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云浮市信用评级报告(区域部分)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云浮作为广东省下辖地级市，经济总量列广东省第21位，人均GDP约5.62万元、人均经济实力在省内相对靠后，经济增速维持在4.00%左右、总体平稳；固定资产投资最新增速转负（-11.70%），经济动能仍有待修复。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云浮市2023、2024、2025年地区生产总值分别为1,255.28亿元、1,301.97亿元、1,344.87亿元，同比增长3.99%、3.80%、4.00%。截至2025年末，全市常住人口238.96万人，人均GDP约5.62万元。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产业结构方面，2025年云浮市三次产业结构为18.1:26.3:55.6，第三产业占主导、服务业是经济主体，农业基础较好。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2023、2024、2025年固定资产投资增速分别为9.20%、9.00%、-11.70%，2025年社会消费品零售总额368.29亿元，进出口总额17.69亿美元。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云浮市2025年GDP总量1,344.87亿元、列全省第21位，一般公共预算收入81.10亿元、列全省第21位。整体来看，云浮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云浮市财政体量在广东省处于中游，税收占比49.92%、税收占比处于一般水平，但政府性基金收入较2023年累计下降30%、土地财政贡献度弱化；2025年末宽口径债务率191.70%、处于可控水平，整体处于可控水平。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云浮市一般公共预算收入分别为92.93亿元、62.30亿元、81.10亿元，其中税收收入31.72亿元、29.01亿元、40.48亿元，税收占比维持在34.13%、46.56%、49.92%；一般公共预算支出257.08亿元、257.19亿元、281.59亿元，财政自给率36.15%、24.22%、28.80%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政府性基金收入方面，2023、2024、2025年分别为14.59亿元、16.47亿元、10.22亿元，政府性基金收入较2023年累计下降30%、土地财政贡献度弱化，反映地方综合财力对房地产周期的敞口。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图表：2023-2025年云浮市财政收入情况(单位:亿元、%)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-37.95%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资料来源:云浮市财政决算、企业预警通,风控信评部整理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土地市场方面，【待补充:云浮市土地出让与房地产销售数据（土地市场数据库未覆盖该市）】。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云浮市地方政府债务余额分别为519.56亿元、598.51亿元、691.43亿元，2025年末债务限额694.29亿元，债务余额控制在限额以内；城投有息债务2025年末估算余额32.93亿元。债务率指标看，2025年末政府债务率182.98%、城投债务率8.72%、宽口径债务率191.70%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云浮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