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佛山市信用评级报告(区域部分)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佛山作为广东省下辖地级市，经济总量列广东省第三位，人均经济实力居省内中游，经济增速由5.06%回落至0.20%、有所放缓；固定资产投资连续负增长（最新-16.00%），经济动能仍有待修复。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佛山市2023、2024、2025年地区生产总值分别为13,323.77亿元、13,230.18亿元、13,157.35亿元，同比增长5.06%、1.10%、0.20%。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产业结构方面，2025年佛山市三次产业结构为1.9:49.6:48.5，以家电、陶瓷、家具、装备制造等传统优势制造业为支柱，聚集美的集团、海天味业等龙头企业，民营经济发达。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2023、2024、2025年固定资产投资增速分别为-9.90%、-6.90%、-16.00%，2025年社会消费品零售总额3,945.94亿元，进出口总额673.90亿美元。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佛山市2025年GDP总量13,157.35亿元、列全省第三位，一般公共预算收入800.27亿元、列全省第四位。整体来看，佛山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佛山市财政体量在广东省处于中游，税收占比—、税收占比处于一般水平，但政府性基金收入较2023年累计下降21%、土地财政贡献度弱化；2025年末宽口径债务率525.79%、处于偏高水平，已显著高于公认的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佛山市一般公共预算收入分别为800.77亿元、767.08亿元、800.27亿元，其中税收收入464.26亿元、439.05亿元、—亿元，税收占比维持在57.98%、57.24%、—；一般公共预算支出982.86亿元、919.99亿元、920.81亿元，财政自给率81.47%、83.38%、86.91%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政府性基金收入方面，2023、2024、2025年分别为477.03亿元、492.77亿元、376.06亿元，政府性基金收入较2023年累计下降21%、土地财政贡献度弱化，反映地方综合财力对房地产周期的敞口。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图表：2023-2025年佛山市财政收入情况(单位:亿元、%)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464.26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982.86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919.99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492.77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-23.68%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资料来源:佛山市财政决算、企业预警通,风控信评部整理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佛山市经营性用地成交价分别为937.48亿元、421.35亿元、439.23亿元、375.15亿元、356.51亿元，2025年较2021年下降61.97%；同期平均溢价率为16.59%、0.82%、5.97%、0.37%、2.18%；成交楼面均价由3,641元/㎡降至1,027元/㎡、累计下降71.79%。2026年1-4月，佛山市经营性用地累计成交80宗、规划建面737.37万㎡、成交价45.62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图表:2021-2025年佛山市土地出让情况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2,574.83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3,641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16.59%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937.48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3,333.37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0.82%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421.35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3,286.30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1,337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439.23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3,234.00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375.15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3,440.36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1,027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356.51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737.37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45.62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佛山市商品住宅成交面积由1,121.23万㎡变动至384.97万㎡、累计下降65.7%；新房均价2025年为16,192元/㎡、较2023年高点(19,565元/㎡)累计下跌17.24%；2025年去化周期17.38个月。据中指冰山指数(最低挂牌价口径)，佛山二手房挂牌价较2018年7月高点累计下跌37.80%，2023年累计跌幅-7.59%、2024年累计跌幅-14.02%、2025年累计跌幅-13.23%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佛山市地方政府债务余额分别为2,750.72亿元、3,136.77亿元、3,573.69亿元，2025年末债务限额3,592.60亿元，债务余额控制在限额以内；城投有息债务2025年末估算余额2,631.75亿元。债务率指标看，2025年末政府债务率302.80%、城投债务率222.99%、宽口径债务率525.79%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佛山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