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广州市信用评级报告(区域部分)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广州作为广东省省会，经济总量列广东省第二位，人均GDP约16.83万元、人均经济实力居全省前列，经济增速由4.59%回落至4.00%、有所放缓；固定资产投资最新增速转负（-6.70%），经济动能仍有待修复。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广州市2023、2024、2025年地区生产总值分别为30,723.56亿元、30,903.42亿元、32,039.46亿元，同比增长4.59%、2.00%、4.00%。截至2025年末，全市常住人口1910.10万人，人均GDP约16.83万元。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产业结构方面，2025年广州市三次产业结构为0.99:24.06:74.95，以汽车制造、电子信息、石油化工和商贸物流为支柱，聚集广汽集团、广州石化、视源股份等企业，是华南商贸与综合门户城市。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2023、2024、2025年固定资产投资增速分别为3.60%、0.15%、-6.70%，2025年社会消费品零售总额11,032.38亿元，进出口总额1,737.00亿美元。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广州市2025年GDP总量32,039.46亿元、列全省第二位，一般公共预算收入2,184.82亿元、列全省第二位。整体来看，广州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广州市财政体量在广东省位居前列，税收占比71.86%、税收质量较好，但政府性基金收入较2023年累计下降38%、土地财政贡献度弱化；2025年末宽口径债务率402.57%、处于偏高水平，已显著高于公认的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广州市一般公共预算收入分别为1,945.10亿元、1,954.70亿元、2,184.82亿元，其中税收收入1,369.75亿元、1,372.37亿元、1,570.00亿元，税收占比维持在70.42%、70.21%、71.86%；一般公共预算支出2,971.60亿元、2,782.50亿元、2,801.54亿元，财政自给率65.46%、70.25%、77.99%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政府性基金收入方面，2023、2024、2025年分别为1,621.90亿元、1,281.70亿元、1,000.00亿元，政府性基金收入较2023年累计下降38%、土地财政贡献度弱化，反映地方综合财力对房地产周期的敞口。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图表：2023-2025年广州市财政收入情况(单位:亿元、%)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1,945.10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1,372.37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2,782.50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-21.98%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资料来源:广州市财政决算、企业预警通,风控信评部整理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广州市经营性用地成交价分别为2,524.20亿元、1,561.60亿元、1,558.13亿元、971.45亿元、681.60亿元，2025年较2021年下降73.00%；同期平均溢价率为5.12%、1.27%、5.44%、3.43%、3.18%；成交楼面均价由6,607元/㎡降至2,059元/㎡、累计下降68.84%。2026年1-4月，广州市经营性用地累计成交71宗、规划建面1061.18万㎡、成交价324.76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图表:2021-2025年广州市土地出让情况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3,819.71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6,607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2,524.20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3,286.13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4,752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1,561.60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4,306.03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1,558.13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3,423.84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971.45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3,308.03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681.60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1061.18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广州市商品住宅成交面积由1,267.55万㎡变动至740.60万㎡、累计下降41.6%；新房均价2025年为32,703元/㎡、较2023年高点(38,000元/㎡)累计下跌13.94%；2025年去化周期26.64个月。据中指冰山指数(最低挂牌价口径)，广州二手房挂牌价较2018年7月高点累计下跌41.84%，2023年累计跌幅-8.34%、2024年累计跌幅-13.64%、2025年累计跌幅-12.67%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广州市地方政府债务余额分别为5,532.23亿元、6,482.84亿元、7,458.30亿元，2025年末债务限额7,566.73亿元，债务余额控制在限额以内；城投有息债务2025年末估算余额11,452.30亿元。债务率指标看，2025年末政府债务率158.77%、城投债务率243.80%、宽口径债务率402.57%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广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