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惠州市信用评级报告(区域部分)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惠州作为广东省下辖地级市，经济总量列广东省第五位，人均GDP约10.34万元、人均经济实力居全省前列，经济增速由5.78%回落至4.51%、有所放缓；固定资产投资连续负增长（最新-23.80%），经济动能仍有待修复。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惠州市2023、2024、2025年地区生产总值分别为5,944.71亿元、6,183.02亿元、6,363.66亿元，同比增长5.78%、4.40%、4.51%。截至2025年末，全市常住人口619.30万人，人均GDP约10.34万元。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产业结构方面，2025年惠州市三次产业结构为5.24:53.18:41.58，以电子信息和石油化工“2+1”产业为支柱，聚集TCL、德赛、亿纬锂能及大亚湾石化基地等。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2023、2024、2025年固定资产投资增速分别为5.30%、-19.39%、-23.80%，2025年社会消费品零售总额2,093.22亿元，进出口总额599.55亿美元。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惠州市2025年GDP总量6,363.66亿元、列全省第五位，一般公共预算收入538.68亿元、列全省第五位。整体来看，惠州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惠州市财政体量在广东省处于中游，税收占比55.84%、税收占比处于一般水平，但政府性基金收入较2023年累计下降50%、土地财政贡献度弱化；2025年末宽口径债务率446.69%、处于偏高水平，已显著高于公认的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惠州市一般公共预算收入分别为473.30亿元、476.10亿元、538.68亿元，其中税收收入282.50亿元、251.50亿元、300.80亿元，税收占比维持在59.69%、52.83%、55.84%；一般公共预算支出726.73亿元、703.40亿元、705.24亿元，财政自给率65.13%、67.69%、76.38%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政府性基金收入方面，2023、2024、2025年分别为182.88亿元、111.70亿元、90.70亿元，政府性基金收入较2023年累计下降50%、土地财政贡献度弱化，反映地方综合财力对房地产周期的敞口。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图表：2023-2025年惠州市财政收入情况(单位:亿元、%)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-38.92%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-18.80%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资料来源:惠州市财政决算、企业预警通,风控信评部整理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惠州市经营性用地成交价分别为290.99亿元、190.28亿元、200.11亿元、92.54亿元、143.24亿元，2025年较2021年下降50.77%；同期平均溢价率为9.62%、0.86%、0.07%、0.04%、0.00%；成交楼面均价由1,001元/㎡降至927元/㎡、累计下降7.39%。2026年1-4月，惠州市经营性用地累计成交83宗、规划建面488.41万㎡、成交价32.83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图表:2021-2025年惠州市土地出让情况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2,904.45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290.99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2,624.61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190.28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2,139.08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1,732.78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92.54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1,540.13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143.24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488.41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32.83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惠州市商品住宅成交面积由1,030.76万㎡变动至327.98万㎡、累计下降68.2%；新房均价2025年为8,622元/㎡、较2023年高点(13,281元/㎡)累计下跌35.08%；2025年去化周期31.56个月。据中指冰山指数(最低挂牌价口径)，惠州二手房挂牌价较2021年5月高点累计下跌47.43%，2023年累计跌幅-17.83%、2024年累计跌幅-16.15%、2025年累计跌幅-11.15%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惠州市地方政府债务余额分别为1,231.42亿元、1,508.41亿元、1,759.82亿元，2025年末债务限额1,766.87亿元，债务余额控制在限额以内；城投有息债务2025年末估算余额1,145.80亿元。债务率指标看，2025年末政府债务率270.54%、城投债务率176.15%、宽口径债务率446.69%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惠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