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梅州市信用评级报告(区域部分)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梅州作为广东省下辖地级市，经济总量列广东省第17位，人均GDP约4.14万元、人均经济实力在省内相对靠后，经济增速由6.72%回落至5.80%、有所放缓；固定资产投资连续负增长（最新-6.20%），经济动能仍有待修复。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梅州市2023、2024、2025年地区生产总值分别为1,464.31亿元、1,508.18亿元、1,583.23亿元，同比增长6.72%、3.60%、5.80%。截至2025年末，全市常住人口381.56万人，人均GDP约4.14万元。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产业结构方面，2025年梅州市三次产业结构为17.9:29.7:52.4，第三产业占主导、服务业是经济主体，农业基础较好。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2023、2024、2025年固定资产投资增速分别为7.60%、-1.01%、-6.20%，2025年社会消费品零售总额552.68亿元，进出口总额14.99亿美元。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梅州市2025年GDP总量1,583.23亿元、列全省第17位，一般公共预算收入121.35亿元、列全省第15位。整体来看，梅州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梅州市财政体量在广东省处于中游，税收占比52.31%、税收占比处于一般水平，但政府性基金收入较2023年累计下降58%、土地财政贡献度弱化；2025年末宽口径债务率162.11%、处于可控水平，整体处于可控水平。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梅州市一般公共预算收入分别为92.72亿元、98.78亿元、121.35亿元，其中税收收入51.24亿元、46.91亿元、63.47亿元，税收占比维持在55.26%、47.49%、52.31%；一般公共预算支出425.16亿元、446.90亿元、474.32亿元，财政自给率21.81%、22.10%、25.58%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政府性基金收入方面，2023、2024、2025年分别为25.17亿元、20.55亿元、10.47亿元，政府性基金收入较2023年累计下降58%、土地财政贡献度弱化，反映地方综合财力对房地产周期的敞口。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图表：2023-2025年梅州市财政收入情况(单位:亿元、%)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-49.05%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资料来源:梅州市财政决算、企业预警通,风控信评部整理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土地市场方面，【待补充:梅州市土地出让与房地产销售数据（土地市场数据库未覆盖该市）】。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梅州市地方政府债务余额分别为813.43亿元、935.60亿元、1,042.34亿元，2025年末债务限额1,046.57亿元，债务余额控制在限额以内；城投有息债务2025年末估算余额107.10亿元。债务率指标看，2025年末政府债务率147.00%、城投债务率15.10%、宽口径债务率162.11%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梅州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