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汕头市信用评级报告(区域部分)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汕头作为我国经济特区，经济总量列广东省第11位，人均GDP约5.42万元、人均经济实力在省内相对靠后，经济增速由4.32%回落至0.10%、有所放缓；固定资产投资连续负增长（最新-58.20%），经济动能仍有待修复。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汕头市2023、2024、2025年地区生产总值分别为3,206.39亿元、3,167.97亿元、3,023.83亿元，同比增长4.32%、0.02%、0.10%。截至2025年末，全市常住人口557.69万人，人均GDP约5.42万元。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产业结构方面，2025年汕头市三次产业结构为4.7:37.6:57.7，第三产业占主导、服务业是经济主体。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2023、2024、2025年固定资产投资增速分别为9.20%、-3.04%、-58.20%，2025年社会消费品零售总额1,483.23亿元，进出口总额72.55亿美元。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汕头市2025年GDP总量3,023.83亿元、列全省第11位，一般公共预算收入170.33亿元、列全省第13位。整体来看，汕头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汕头市财政体量在广东省处于中游，税收占比68.93%、税收质量较好，但政府性基金收入较2023年累计增长45%；2025年末宽口径债务率580.57%、处于偏高水平，已显著高于公认的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汕头市一般公共预算收入分别为133.10亿元、139.90亿元、170.33亿元，其中税收收入83.69亿元、78.90亿元、117.41亿元，税收占比维持在62.88%、56.40%、68.93%；一般公共预算支出372.50亿元、385.10亿元、386.13亿元，财政自给率35.73%、36.33%、44.11%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政府性基金收入方面，2023、2024、2025年分别为69.60亿元、110.40亿元、100.68亿元，政府性基金收入较2023年累计增长45%，反映地方综合财力对房地产周期的敞口。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图表：2023-2025年汕头市财政收入情况(单位:亿元、%)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21.75%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48.81%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-8.80%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资料来源:汕头市财政决算、企业预警通,风控信评部整理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土地市场方面，【待补充:汕头市土地出让与房地产销售数据（土地市场数据库未覆盖该市）】。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汕头市地方政府债务余额分别为1,012.32亿元、1,207.37亿元、1,396.89亿元，2025年末债务限额1,402.13亿元，债务余额控制在限额以内；城投有息债务2025年末估算余额186.09亿元。债务率指标看，2025年末政府债务率512.32%、城投债务率68.25%、宽口径债务率580.57%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汕头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