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汕尾市信用评级报告(区域部分)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汕尾作为广东省下辖地级市，经济总量列广东省第18位，人均经济实力居省内中游，经济增速由5.04%回落至4.20%、有所放缓；固定资产投资连续负增长（最新-22.40%），经济动能仍有待修复。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汕尾市2023、2024、2025年地区生产总值分别为1,444.62亿元、1,493.53亿元、1,546.30亿元，同比增长5.04%、3.80%、4.20%。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产业结构方面，汕尾作为广东省下辖地级市，区域产业结构以本地优势产业为主。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2023、2024、2025年固定资产投资增速分别为-3.30%、-10.58%、-22.40%，2025年社会消费品零售总额528.03亿元，进出口总额22.88亿美元。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深圳市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38,731.80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0.1:37.4:62.5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4,163.77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1824.85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32,039.46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0.99:24.06:74.95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1910.10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佛山市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13,157.35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1.9:49.6:48.5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12,760.20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0.3:56.1:43.6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1080.04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6,363.66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5.24:53.18:41.58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538.68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619.30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珠海市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4,573.10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江门市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4,293.91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4,260.56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茂名市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4,106.40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18.1:27.3:54.5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626.46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湛江市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3,952.94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18.6:32.6:48.8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712.29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3,023.83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4.7:37.6:57.7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557.69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肇庆市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2,974.84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揭阳市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9.7:35:55.3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568.72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清远市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韶关市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15.2:31.1:53.7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283.39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1,671.22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262.86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梅州市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1,583.23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17.9:29.7:52.4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1,546.30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潮州市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9.8:44.5:45.7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1,434.57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13.3:33.7:53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281.42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云浮市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1,344.87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18.1:26.3:55.6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238.96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汕尾市2025年GDP总量1,546.30亿元、列全省第18位，一般公共预算收入90.38亿元、列全省第19位。整体来看，汕尾市经济基本面在广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汕尾市财政体量在广东省处于中游，税收占比48.67%、税收占比处于一般水平，但政府性基金收入总体平稳；2025年末宽口径债务率205.75%、处于中等偏高水平，处于相对偏高区间，需关注债务扩张节奏。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汕尾市一般公共预算收入分别为66.52亿元、74.27亿元、90.38亿元，其中税收收入31.74亿元、29.53亿元、43.98亿元，税收占比维持在47.71%、39.76%、48.67%；一般公共预算支出266.44亿元、282.97亿元、297.93亿元，财政自给率24.97%、26.25%、30.33%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政府性基金收入方面，2023、2024、2025年分别为29.72亿元、27.74亿元、31.38亿元，政府性基金收入总体平稳，反映地方综合财力对房地产周期的敞口。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图表：2023-2025年汕尾市财政收入情况(单位:亿元、%)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21.69%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-6.96%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48.93%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39.76%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266.44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282.97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297.93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13.12%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资料来源:汕尾市财政决算、企业预警通,风控信评部整理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土地市场方面，【待补充:汕尾市土地出让与房地产销售数据（土地市场数据库未覆盖该市）】。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汕尾市地方政府债务余额分别为596.20亿元、707.90亿元、832.11亿元，2025年末债务限额835.44亿元，债务余额控制在限额以内；城投有息债务2025年末估算余额53.40亿元。债务率指标看，2025年末政府债务率193.34%、城投债务率12.41%、宽口径债务率205.75%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汕尾市财政基本盘总体稳健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