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江门市信用评级报告(区域部分)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江门作为广东省下辖地级市，经济总量列广东省第七位，人均GDP约8.90万元、人均经济实力居全省中游，经济增速由5.59%回落至2.80%、有所放缓；固定资产投资连续负增长（最新-25.60%），经济动能仍有待修复。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江门市2023、2024、2025年地区生产总值分别为4,106.58亿元、4,210.18亿元、4,293.91亿元，同比增长5.59%、3.37%、2.80%。截至2025年末，全市常住人口482.85万人，人均GDP约8.90万元。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产业结构方面，2025年江门市三次产业结构为8.7:43.1:48.2，第三产业占主导、服务业是经济主体。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2023、2024、2025年固定资产投资增速分别为0.10%、-12.80%、-25.60%，2025年社会消费品零售总额1,307.95亿元，进出口总额276.88亿美元。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深圳市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38,731.80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0.1:37.4:62.5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4,163.77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1824.85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32,039.46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0.99:24.06:74.95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1910.10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佛山市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13,157.35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1.9:49.6:48.5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800.27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12,760.20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0.3:56.1:43.6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1080.04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6,363.66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5.24:53.18:41.58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538.68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619.30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珠海市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4,573.10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江门市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4,293.91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中山市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4,260.56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茂名市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4,106.40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18.1:27.3:54.5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626.46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湛江市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3,952.94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18.6:32.6:48.8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712.29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3,023.83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4.7:37.6:57.7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557.69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肇庆市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2,974.84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揭阳市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2,553.75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9.7:35:55.3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568.72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清远市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2,317.47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208.12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韶关市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15.2:31.1:53.7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283.39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阳江市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1,671.22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262.86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梅州市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1,583.23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17.9:29.7:52.4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121.35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381.56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1,546.30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潮州市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9.8:44.5:45.7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1,434.57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13.3:33.7:53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281.42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云浮市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1,344.87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18.1:26.3:55.6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238.96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江门市2025年GDP总量4,293.91亿元、列全省第七位，一般公共预算收入324.85亿元、列全省第八位。整体来看，江门市经济基本面在广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江门市财政体量在广东省处于中游，税收占比59.14%、税收占比处于一般水平，但政府性基金收入总体平稳；2025年末宽口径债务率532.81%、处于偏高水平，已显著高于公认的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江门市一般公共预算收入分别为277.17亿元、277.60亿元、324.85亿元，其中税收收入154.24亿元、150.47亿元、192.12亿元，税收占比维持在55.65%、54.20%、59.14%；一般公共预算支出455.24亿元、456.38亿元、462.54亿元，财政自给率60.88%、60.83%、70.23%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政府性基金收入方面，2023、2024、2025年分别为120.05亿元、86.72亿元、120.01亿元，政府性基金收入总体平稳，反映地方综合财力对房地产周期的敞口。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图表：2023-2025年江门市财政收入情况(单位:亿元、%)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277.17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17.02%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154.24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-2.44%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27.68%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55.65%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455.24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456.38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462.54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60.88%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-27.76%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38.39%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资料来源:江门市财政决算、企业预警通,风控信评部整理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土地市场方面，【待补充:江门市土地出让与房地产销售数据（土地市场数据库未覆盖该市）】。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江门市地方政府债务余额分别为1,087.69亿元、1,260.40亿元、1,455.81亿元，2025年末债务限额1,460.75亿元，债务余额控制在限额以内；城投有息债务2025年末估算余额926.11亿元。债务率指标看，2025年末政府债务率325.65%、城投债务率207.16%、宽口径债务率532.81%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江门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