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河源市信用评级报告(区域部分)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河源作为广东省下辖地级市，经济总量列广东省第20位，人均GDP约5.08万元、人均经济实力在省内相对靠后，经济增速由4.10%回落至3.30%、有所放缓；固定资产投资连续负增长（最新-16.50%），经济动能仍有待修复。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河源市2023、2024、2025年地区生产总值分别为1,386.26亿元、1,407.72亿元、1,434.57亿元，同比增长4.10%、2.17%、3.30%。截至2025年末，全市常住人口281.42万人，人均GDP约5.08万元。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产业结构方面，2025年河源市三次产业结构为13.3:33.7:53，第三产业占主导、服务业是经济主体。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2023、2024、2025年固定资产投资增速分别为11.00%、-11.55%、-16.50%，2025年社会消费品零售总额449.61亿元，进出口总额32.89亿美元。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河源市2025年GDP总量1,434.57亿元、列全省第20位，一般公共预算收入95.34亿元、列全省第18位。整体来看，河源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河源市财政体量在广东省处于中游，税收占比56.17%、税收占比处于一般水平；2025年末宽口径债务率979.46%、处于偏高水平，已显著高于公认的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河源市一般公共预算收入分别为72.90亿元、76.04亿元、95.34亿元，其中税收收入38.17亿元、35.24亿元、53.55亿元，税收占比维持在52.36%、46.34%、56.17%；一般公共预算支出335.90亿元、370.69亿元、386.30亿元，财政自给率21.70%、20.51%、24.68%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政府性基金收入方面，2023年分别为14.62亿元。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图表：2023-2025年河源市财政收入情况(单位:亿元、%)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51.96%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资料来源:河源市财政决算、企业预警通,风控信评部整理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土地市场方面，【待补充:河源市土地出让与房地产销售数据（土地市场数据库未覆盖该市）】。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河源市地方政府债务余额分别为652.28亿元、752.24亿元、830.77亿元，2025年末债务限额833.51亿元，债务余额控制在限额以内；城投有息债务2025年末估算余额103.00亿元。债务率指标看，2025年末政府债务率871.42%、城投债务率108.04%、宽口径债务率979.46%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河源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