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深圳市信用评级报告(区域部分)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深圳作为我国经济特区和计划单列市，经济总量在广东省稳居第一，人均GDP约21.38万元、人均经济实力居全省前列，经济增速由5.95%回落至5.50%、有所放缓；固定资产投资最新增速转负（-21.70%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深圳市2023、2024、2025年地区生产总值分别为34,903.27亿元、36,801.87亿元、38,731.80亿元，同比增长5.95%、5.76%、5.50%。截至2025年末，全市常住人口1824.85万人，人均GDP约21.38万元。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产业结构方面，2025年深圳市三次产业结构为0.1:37.4:62.5，以电子信息、数字经济、先进制造和金融业为支柱，聚集华为、腾讯、比亚迪、中兴通讯、大疆等龙头企业，高新技术产业和外贸地位突出。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2023、2024、2025年固定资产投资增速分别为11.00%、2.44%、-21.70%，2025年社会消费品零售总额10,259.93亿元，进出口总额6,374.71亿美元。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深圳市2025年GDP总量38,731.80亿元、列全省第一位，一般公共预算收入4,163.77亿元、列全省第一位。整体来看，深圳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深圳市财政体量在广东省稳居第一，税收占比84.31%、税收质量较好，但政府性基金收入较2023年累计下降24%、土地财政贡献度弱化；2025年末宽口径债务率147.38%、处于可控水平，整体处于可控水平。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深圳市一般公共预算收入分别为4,112.92亿元、3,914.79亿元、4,163.77亿元，其中税收收入3,467.68亿元、3,265.73亿元、3,510.62亿元，税收占比维持在84.31%、83.42%、84.31%；一般公共预算支出5,012.43亿元、4,700.86亿元、4,502.55亿元，财政自给率82.05%、83.28%、92.48%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政府性基金收入方面，2023、2024、2025年分别为875.53亿元、474.96亿元、666.96亿元，政府性基金收入较2023年累计下降24%、土地财政贡献度弱化，反映地方综合财力对房地产周期的敞口。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图表：2023-2025年深圳市财政收入情况(单位:亿元、%)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4,112.92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3,914.79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3,467.68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3,265.73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5,012.43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4,700.86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875.53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-45.75%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资料来源:深圳市财政决算、企业预警通,风控信评部整理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深圳市经营性用地成交价分别为1,120.65亿元、902.53亿元、426.86亿元、415.90亿元、365.18亿元，2025年较2021年下降67.41%；同期平均溢价率为9.69%、7.38%、7.29%、19.62%、25.24%；成交楼面均价由8,956元/㎡降至7,698元/㎡、累计下降14.05%。2026年1-4月，深圳市经营性用地累计成交18宗、规划建面113.92万㎡、成交价39.75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图表:2021-2025年深圳市土地出让情况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1,251.27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1,120.65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1,731.41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902.53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1,242.48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426.86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685.60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415.90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474.41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7,698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25.24%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365.18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39.75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深圳市商品住宅成交面积由485.95万㎡变动至389.26万㎡、累计下降19.9%；新房均价2025年为54,071元/㎡、较2022年高点(70,299元/㎡)累计下跌23.08%；2025年去化周期46.92个月。据中指冰山指数(最低挂牌价口径)，深圳二手房挂牌价较2021年2月高点累计下跌36.70%，2023年累计跌幅-7.19%、2024年累计跌幅-13.30%、2025年累计跌幅-10.35%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深圳市地方政府债务余额分别为2,692.43亿元、3,449.81亿元、4,492.30亿元，2025年末债务限额4,557.18亿元，债务余额控制在限额以内；城投有息债务2025年末估算余额4,483.60亿元。债务率指标看，2025年末政府债务率73.76%、城投债务率73.62%、宽口径债务率147.38%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深圳市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