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清远市信用评级报告(区域部分)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清远作为广东省下辖地级市，经济总量列广东省第14位，人均经济实力居省内中游，经济增速维持在4.50%左右、总体平稳；固定资产投资连续负增长（最新-13.70%），经济动能仍有待修复。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清远市2023、2024、2025年地区生产总值分别为2,178.91亿元、2,240.67亿元、2,317.47亿元，同比增长4.67%、3.60%、4.50%。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产业结构方面，清远作为广东省下辖地级市，区域产业结构以本地优势产业为主。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2023、2024、2025年固定资产投资增速分别为-3.10%、-11.02%、-13.70%，2025年社会消费品零售总额541.45亿元，进出口总额90.06亿美元。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清远市2025年GDP总量2,317.47亿元、列全省第14位，一般公共预算收入208.12亿元、列全省第11位。整体来看，清远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清远市财政体量在广东省处于中游，税收占比54.15%、税收占比处于一般水平，但政府性基金收入较2023年累计增长25%；2025年末宽口径债务率496.40%、处于偏高水平，已显著高于公认的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清远市一般公共预算收入分别为152.00亿元、162.76亿元、208.12亿元，其中税收收入80.34亿元、78.51亿元、112.70亿元，税收占比维持在52.86%、48.24%、54.15%；一般公共预算支出428.74亿元、434.54亿元、449.86亿元，财政自给率35.45%、37.46%、46.26%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政府性基金收入方面，2023、2024、2025年分别为65.48亿元、87.37亿元、81.82亿元，政府性基金收入较2023年累计增长25%，反映地方综合财力对房地产周期的敞口。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图表：2023-2025年清远市财政收入情况(单位:亿元、%)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27.87%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428.74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-6.35%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资料来源:清远市财政决算、企业预警通,风控信评部整理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土地市场方面，【待补充:清远市土地出让与房地产销售数据（土地市场数据库未覆盖该市）】。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清远市地方政府债务余额分别为917.65亿元、1,097.44亿元、1,316.55亿元，2025年末债务限额1,323.01亿元，债务余额控制在限额以内；城投有息债务2025年末估算余额131.36亿元。债务率指标看，2025年末政府债务率451.36%、城投债务率45.04%、宽口径债务率496.40%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清远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