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湛江市信用评级报告(区域部分)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湛江作为广东省下辖地级市，经济总量列广东省第十位，人均GDP约5.55万元、人均经济实力在省内相对靠后，经济增速由3.10%回升至4.52%、动能边际改善；固定资产投资连续负增长（最新-13.00%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湛江市2023、2024、2025年地区生产总值分别为3,829.58亿元、3,830.14亿元、3,952.94亿元，同比增长3.10%、1.20%、4.52%。截至2025年末，全市常住人口712.29万人，人均GDP约5.55万元。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产业结构方面，2025年湛江市三次产业结构为18.6:32.6:48.8，第三产业占主导、服务业是经济主体，农业基础较好。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2023、2024、2025年固定资产投资增速分别为3.20%、-11.34%、-13.00%，2025年社会消费品零售总额1,620.06亿元，进出口总额88.00亿美元。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湛江市2025年GDP总量3,952.94亿元、列全省第十位，一般公共预算收入215.10亿元、列全省第十位。整体来看，湛江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湛江市财政体量在广东省处于中游，税收占比61.02%、税收质量较好，但政府性基金收入总体平稳；2025年末宽口径债务率656.97%、处于偏高水平，已显著高于公认的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湛江市一般公共预算收入分别为155.63亿元、164.96亿元、215.10亿元，其中税收收入90.39亿元、87.51亿元、131.26亿元，税收占比维持在58.08%、53.05%、61.02%；一般公共预算支出545.37亿元、535.88亿元、568.16亿元，财政自给率28.54%、30.78%、37.86%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政府性基金收入方面，2023、2024、2025年分别为60.92亿元、49.56亿元、64.70亿元，政府性基金收入总体平稳，反映地方综合财力对房地产周期的敞口。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图表：2023-2025年湛江市财政收入情况(单位:亿元、%)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535.88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30.55%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资料来源:湛江市财政决算、企业预警通,风控信评部整理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土地市场方面，【待补充:湛江市土地出让与房地产销售数据（土地市场数据库未覆盖该市）】。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湛江市地方政府债务余额分别为1,114.09亿元、1,284.22亿元、1,504.04亿元，2025年末债务限额1,510.58亿元，债务余额控制在限额以内；城投有息债务2025年末估算余额344.20亿元。债务率指标看，2025年末政府债务率534.62%、城投债务率122.35%、宽口径债务率656.97%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湛江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