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潮州市信用评级报告(区域部分)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潮州作为广东省下辖地级市，经济总量列广东省第19位，人均GDP约5.63万元、人均经济实力居全省中游，经济增速由3.07%回升至4.70%、动能边际改善；固定资产投资连续负增长（最新0.90%），经济运行总体平稳。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潮州市2023、2024、2025年地区生产总值分别为1,363.87亿元、1,396.64亿元、1,452.17亿元，同比增长3.07%、3.70%、4.70%。截至2025年末，全市常住人口257.88万人，人均GDP约5.63万元。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产业结构方面，2025年潮州市三次产业结构为9.8:44.5:45.7，第三产业占主导、服务业是经济主体。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2023、2024、2025年固定资产投资增速分别为-12.70%、-12.83%、0.90%，2025年社会消费品零售总额530.62亿元，进出口总额39.39亿美元。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潮州市2025年GDP总量1,452.17亿元、列全省第19位，一般公共预算收入81.93亿元、列全省第20位。整体来看，潮州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潮州市财政体量在广东省处于中游，税收占比57.92%、税收占比处于一般水平，但政府性基金收入较2023年累计增长190%；2025年末宽口径债务率578.40%、处于偏高水平，已显著高于公认的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潮州市一般公共预算收入分别为59.70亿元、64.19亿元、81.93亿元，其中税收收入31.60亿元、31.81亿元、47.45亿元，税收占比维持在52.93%、49.55%、57.92%；一般公共预算支出201.80亿元、214.05亿元、220.52亿元，财政自给率29.58%、29.99%、37.15%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政府性基金收入方面，2023、2024、2025年分别为10.95亿元、30.26亿元、31.72亿元，政府性基金收入较2023年累计增长190%，反映地方综合财力对房地产周期的敞口。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图表：2023-2025年潮州市财政收入情况(单位:亿元、%)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资料来源:潮州市财政决算、企业预警通,风控信评部整理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土地市场方面，【待补充:潮州市土地出让与房地产销售数据（土地市场数据库未覆盖该市）】。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潮州市地方政府债务余额分别为401.34亿元、478.35亿元、562.38亿元，2025年末债务限额565.05亿元，债务余额控制在限额以内；城投有息债务2025年末估算余额100.29亿元。债务率指标看，2025年末政府债务率490.86%、城投债务率87.53%、宽口径债务率578.40%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潮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