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珠海市信用评级报告(区域部分)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珠海作为我国经济特区，经济总量列广东省第六位，人均GDP约18.00万元、人均经济实力居全省前列，经济增速由4.08%回落至2.70%、有所放缓；固定资产投资连续负增长（最新-31.60%），经济动能仍有待修复。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珠海市2023、2024、2025年地区生产总值分别为4,348.96亿元、4,501.31亿元、4,573.10亿元，同比增长4.08%、3.60%、2.70%。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产业结构方面，珠海作为我国经济特区，以电子信息、家电电气、生物医药、装备制造为支柱，聚集格力电器等企业。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2023、2024、2025年固定资产投资增速分别为-13.10%、-18.17%、-31.60%，2025年社会消费品零售总额918.65亿元，进出口总额468.74亿美元。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珠海市2025年GDP总量4,573.10亿元、列全省第六位，一般公共预算收入494.10亿元、列全省第六位。整体来看，珠海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珠海市财政体量在广东省处于中游，税收占比68.19%、税收质量较好，但政府性基金收入较2023年累计下降62%、土地财政贡献度弱化；2025年末宽口径债务率391.09%、处于偏高水平，已显著高于公认的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珠海市一般公共预算收入分别为482.51亿元、475.16亿元、494.10亿元，其中税收收入300.29亿元、292.87亿元、336.93亿元，税收占比维持在62.23%、61.64%、68.19%；一般公共预算支出671.86亿元、649.98亿元、668.64亿元，财政自给率71.82%、73.10%、73.90%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政府性基金收入方面，2023、2024、2025年分别为86.83亿元、91.38亿元、32.70亿元，政府性基金收入较2023年累计下降62%、土地财政贡献度弱化，反映地方综合财力对房地产周期的敞口。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图表：2023-2025年珠海市财政收入情况(单位:亿元、%)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300.29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336.93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649.98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-64.22%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资料来源:珠海市财政决算、企业预警通,风控信评部整理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土地市场方面，【待补充:珠海市土地出让与房地产销售数据（土地市场数据库未覆盖该市）】。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珠海市地方政府债务余额分别为1,321.50亿元、1,519.92亿元、1,737.09亿元，2025年末债务限额1,743.64亿元，债务余额控制在限额以内；城投有息债务2025年末估算余额2,153.98亿元。债务率指标看，2025年末政府债务率174.60%、城投债务率216.50%、宽口径债务率391.09%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珠海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