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肇庆市信用评级报告(区域部分)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肇庆作为广东省下辖地级市，经济总量列广东省第12位，人均GDP约7.20万元、人均经济实力居全省中游，经济增速由3.73%回落至3.10%、有所放缓；固定资产投资连续负增长（最新-41.60%），经济动能仍有待修复。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肇庆市2023、2024、2025年地区生产总值分别为2,877.89亿元、2,917.85亿元、2,974.84亿元，同比增长3.73%、2.15%、3.10%。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产业结构方面，肇庆作为广东省下辖地级市，区域产业结构以本地优势产业为主。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2023、2024、2025年固定资产投资增速分别为-4.60%、-3.48%、-41.60%，2025年社会消费品零售总额1,217.70亿元，进出口总额64.79亿美元。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肇庆市2025年GDP总量2,974.84亿元、列全省第12位，一般公共预算收入240.19亿元、列全省第九位。整体来看，肇庆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肇庆市财政体量在广东省处于中游，税收占比40.85%、税收占比处于一般水平，但政府性基金收入较2023年累计增长70%；2025年末宽口径债务率595.02%、处于偏高水平，已显著高于公认的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肇庆市一般公共预算收入分别为176.56亿元、188.95亿元、240.19亿元，其中税收收入77.88亿元、79.81亿元、98.12亿元，税收占比维持在44.11%、42.24%、40.85%；一般公共预算支出417.52亿元、417.59亿元、442.89亿元，财政自给率42.29%、45.25%、54.23%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政府性基金收入方面，2023、2024、2025年分别为66.56亿元、100.93亿元、113.14亿元，政府性基金收入较2023年累计增长70%，反映地方综合财力对房地产周期的敞口。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图表：2023-2025年肇庆市财政收入情况(单位:亿元、%)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资料来源:肇庆市财政决算、企业预警通,风控信评部整理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土地市场方面，【待补充:肇庆市土地出让与房地产销售数据（土地市场数据库未覆盖该市）】。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肇庆市地方政府债务余额分别为1,133.11亿元、1,286.55亿元、1,423.67亿元，2025年末债务限额1,427.53亿元，债务余额控制在限额以内；城投有息债务2025年末估算余额756.43亿元。债务率指标看，2025年末政府债务率388.57%、城投债务率206.45%、宽口径债务率595.02%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肇庆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