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茂名市信用评级报告(区域部分)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茂名作为广东省下辖地级市，经济总量列广东省第九位，人均GDP约6.55万元、人均经济实力居全省中游，经济增速维持在3.60%左右、总体平稳；固定资产投资连续负增长（最新-2.80%），经济动能仍有待修复。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茂名市2023、2024、2025年地区生产总值分别为3,993.26亿元、4,043.55亿元、4,106.40亿元，同比增长3.78%、2.40%、3.60%。截至2025年末，全市常住人口626.46万人，人均GDP约6.55万元。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产业结构方面，2025年茂名市三次产业结构为18.1:27.3:54.5，第三产业占主导、服务业是经济主体，农业基础较好。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2023、2024、2025年固定资产投资增速分别为5.30%、-1.72%、-2.80%，2025年社会消费品零售总额1,557.24亿元，进出口总额24.54亿美元。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茂名市2025年GDP总量4,106.40亿元、列全省第九位，一般公共预算收入186.64亿元、列全省第12位。整体来看，茂名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茂名市财政体量在广东省处于中游，税收占比50.17%、税收占比处于一般水平，但政府性基金收入较2023年累计下降29%、土地财政贡献度弱化；2025年末宽口径债务率608.90%、处于偏高水平，已显著高于公认的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茂名市一般公共预算收入分别为145.47亿元、151.43亿元、186.64亿元，其中税收收入68.81亿元、65.33亿元、93.64亿元，税收占比维持在47.30%、43.14%、50.17%；一般公共预算支出512.60亿元、517.17亿元、531.04亿元，财政自给率28.38%、29.28%、35.15%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政府性基金收入方面，2023、2025年分别为90.65亿元、64.79亿元，政府性基金收入较2023年累计下降29%、土地财政贡献度弱化，反映地方综合财力对房地产周期的敞口。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图表：2023-2025年茂名市财政收入情况(单位:亿元、%)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43.33%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531.04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资料来源:茂名市财政决算、企业预警通,风控信评部整理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土地市场方面，【待补充:茂名市土地出让与房地产销售数据（土地市场数据库未覆盖该市）】。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茂名市地方政府债务余额分别为807.47亿元、1,005.61亿元、1,203.78亿元，2025年末债务限额1,210.59亿元，债务余额控制在限额以内；城投有息债务2025年末估算余额332.15亿元。债务率指标看，2025年末政府债务率477.22%、城投债务率131.68%、宽口径债务率608.90%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茂名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