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林芝市信用评级报告(区域部分)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林芝作为西藏自治区下辖地级市，经济总量列西藏自治区第五位，人均经济实力居省内中游，经济增速由9.50%回落至7.30%、有所放缓；固定资产投资最新增速62.90%，经济运行总体平稳。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林芝市2023、2024、2025年地区生产总值分别为235.66亿元、267.78亿元、292.34亿元，同比增长9.50%、6.30%、7.30%。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产业结构方面，2025年林芝市三次产业结构为6.98:35.89:57.13，第三产业占主导、服务业是经济主体。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2023、2024、2025年固定资产投资增速分别为17.10%、29.30%、62.90%，2025年社会消费品零售总额77.11亿元，进出口总额0.01亿美元。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林芝市2025年GDP总量292.34亿元、列全省第五位，一般公共预算收入20.27亿元、列全省第五位。整体来看，林芝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林芝市财政体量在西藏自治区处于中游，税收占比56.50%、税收占比处于一般水平，但政府性基金收入较2023年累计增长38%；2025年末宽口径债务率254.67%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林芝市一般公共预算收入分别为14.88亿元、18.51亿元、20.27亿元，其中税收收入7.70亿元、10.99亿元、11.45亿元，税收占比维持在51.77%、59.35%、56.50%；一般公共预算支出170.21亿元、246.46亿元、221.94亿元，财政自给率8.74%、7.51%、9.13%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政府性基金收入方面，2023、2024、2025年分别为2.52亿元、1.26亿元、3.47亿元，政府性基金收入较2023年累计增长38%，反映地方综合财力对房地产周期的敞口。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图表：2023-2025年林芝市财政收入情况(单位:亿元、%)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9.51%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42.73%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4.19%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170.21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246.46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221.94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-9.95%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-50.00%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175.40%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资料来源:林芝市财政决算、企业预警通,风控信评部整理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土地市场方面，【待补充:林芝市土地出让与房地产销售数据（土地市场数据库未覆盖该市）】。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林芝市地方政府债务余额分别为34.13亿元、55.23亿元、60.73亿元，2025年末债务限额61.38亿元，债务余额控制在限额以内；城投有息债务2025年末估算余额—亿元。债务率指标看，2025年末政府债务率254.67%、城投债务率—、宽口径债务率254.67%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林芝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